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CF8" w:rsidRPr="00F23CF8" w:rsidRDefault="00F23CF8" w:rsidP="00F23CF8">
      <w:pPr>
        <w:spacing w:after="0" w:line="360" w:lineRule="auto"/>
        <w:jc w:val="center"/>
        <w:rPr>
          <w:rFonts w:ascii="Arial" w:eastAsiaTheme="minorHAnsi" w:hAnsi="Arial" w:cs="Arial"/>
          <w:b/>
          <w:sz w:val="28"/>
          <w:szCs w:val="28"/>
        </w:rPr>
      </w:pPr>
      <w:r w:rsidRPr="00F23CF8">
        <w:rPr>
          <w:rFonts w:ascii="Arial" w:eastAsiaTheme="minorHAnsi" w:hAnsi="Arial" w:cs="Arial"/>
          <w:b/>
          <w:sz w:val="28"/>
          <w:szCs w:val="28"/>
        </w:rPr>
        <w:t>La prise en charge par l’Etat des impôts et taxes des marchés publics des prêts projets financés sur ressources extérieures.</w:t>
      </w:r>
    </w:p>
    <w:p w:rsidR="00F23CF8" w:rsidRPr="00F23CF8" w:rsidRDefault="00F23CF8" w:rsidP="00F23CF8">
      <w:pPr>
        <w:spacing w:after="0" w:line="360" w:lineRule="auto"/>
        <w:jc w:val="both"/>
        <w:rPr>
          <w:rFonts w:ascii="Arial" w:eastAsiaTheme="minorHAnsi" w:hAnsi="Arial" w:cs="Arial"/>
          <w:b/>
          <w:sz w:val="24"/>
          <w:szCs w:val="24"/>
        </w:rPr>
      </w:pPr>
      <w:r w:rsidRPr="00F23CF8">
        <w:rPr>
          <w:rFonts w:ascii="Arial" w:eastAsiaTheme="minorHAnsi" w:hAnsi="Arial" w:cs="Arial"/>
          <w:b/>
          <w:sz w:val="24"/>
          <w:szCs w:val="24"/>
        </w:rPr>
        <w:t xml:space="preserve">             </w:t>
      </w:r>
    </w:p>
    <w:p w:rsidR="00F23CF8" w:rsidRPr="00F23CF8" w:rsidRDefault="00F23CF8" w:rsidP="00F23CF8">
      <w:pPr>
        <w:spacing w:after="0" w:line="360" w:lineRule="auto"/>
        <w:jc w:val="both"/>
        <w:rPr>
          <w:rFonts w:ascii="Arial" w:eastAsiaTheme="minorHAnsi" w:hAnsi="Arial" w:cs="Arial"/>
          <w:b/>
          <w:sz w:val="24"/>
          <w:szCs w:val="24"/>
        </w:rPr>
      </w:pPr>
      <w:r w:rsidRPr="00F23CF8">
        <w:rPr>
          <w:rFonts w:ascii="Arial" w:eastAsiaTheme="minorHAnsi" w:hAnsi="Arial" w:cs="Arial"/>
          <w:b/>
          <w:sz w:val="24"/>
          <w:szCs w:val="24"/>
        </w:rPr>
        <w:t xml:space="preserve">Introduction </w:t>
      </w:r>
    </w:p>
    <w:p w:rsidR="00F23CF8" w:rsidRPr="00F23CF8" w:rsidRDefault="00F23CF8" w:rsidP="00F23CF8">
      <w:pPr>
        <w:spacing w:after="0" w:line="360" w:lineRule="auto"/>
        <w:jc w:val="both"/>
        <w:rPr>
          <w:rFonts w:ascii="Arial" w:eastAsiaTheme="minorHAnsi" w:hAnsi="Arial" w:cs="Arial"/>
          <w:b/>
          <w:sz w:val="24"/>
          <w:szCs w:val="24"/>
        </w:rPr>
      </w:pPr>
    </w:p>
    <w:p w:rsidR="00F23CF8" w:rsidRDefault="00F23CF8" w:rsidP="00F23CF8">
      <w:pPr>
        <w:spacing w:after="0" w:line="360" w:lineRule="auto"/>
        <w:jc w:val="both"/>
        <w:rPr>
          <w:rFonts w:ascii="Arial" w:eastAsiaTheme="minorHAnsi" w:hAnsi="Arial" w:cs="Arial"/>
          <w:sz w:val="24"/>
          <w:szCs w:val="24"/>
        </w:rPr>
      </w:pPr>
      <w:r w:rsidRPr="00F23CF8">
        <w:rPr>
          <w:rFonts w:ascii="Arial" w:eastAsiaTheme="minorHAnsi" w:hAnsi="Arial" w:cs="Arial"/>
          <w:sz w:val="24"/>
          <w:szCs w:val="24"/>
        </w:rPr>
        <w:t>Dans le cadre de la mise en œuvre des projets de développement financés sur ressources ex</w:t>
      </w:r>
      <w:bookmarkStart w:id="0" w:name="_GoBack"/>
      <w:bookmarkEnd w:id="0"/>
      <w:r w:rsidRPr="00F23CF8">
        <w:rPr>
          <w:rFonts w:ascii="Arial" w:eastAsiaTheme="minorHAnsi" w:hAnsi="Arial" w:cs="Arial"/>
          <w:sz w:val="24"/>
          <w:szCs w:val="24"/>
        </w:rPr>
        <w:t>térieures, la fiscalité sur les marchés publics est régie par les Accords de financement signés avec les Partenaires Techniques et Financiers (PTF) et les textes réglementaires nationaux, notamment la circulaire n° 05982 MEF/DGT/TG du 14 septembre 1987 portant « application du régime de droit commun en matière de fiscalité aux marchés publics financés de l’extérieur ».</w:t>
      </w:r>
    </w:p>
    <w:p w:rsidR="00F23CF8" w:rsidRPr="00F23CF8" w:rsidRDefault="00F23CF8" w:rsidP="00F23CF8">
      <w:pPr>
        <w:spacing w:after="0" w:line="360" w:lineRule="auto"/>
        <w:jc w:val="both"/>
        <w:rPr>
          <w:rFonts w:ascii="Arial" w:eastAsiaTheme="minorHAnsi" w:hAnsi="Arial" w:cs="Arial"/>
          <w:sz w:val="24"/>
          <w:szCs w:val="24"/>
        </w:rPr>
      </w:pPr>
    </w:p>
    <w:p w:rsidR="00F23CF8" w:rsidRPr="00F23CF8" w:rsidRDefault="00F23CF8" w:rsidP="00F23CF8">
      <w:pPr>
        <w:spacing w:after="0" w:line="360" w:lineRule="auto"/>
        <w:jc w:val="both"/>
        <w:rPr>
          <w:rFonts w:ascii="Arial" w:eastAsiaTheme="minorHAnsi" w:hAnsi="Arial" w:cs="Arial"/>
          <w:sz w:val="24"/>
          <w:szCs w:val="24"/>
        </w:rPr>
      </w:pPr>
      <w:r w:rsidRPr="00F23CF8">
        <w:rPr>
          <w:rFonts w:ascii="Arial" w:eastAsiaTheme="minorHAnsi" w:hAnsi="Arial" w:cs="Arial"/>
          <w:sz w:val="24"/>
          <w:szCs w:val="24"/>
        </w:rPr>
        <w:t>Cette circulaire s’applique à l’ensemble des marchés publics de travaux, de fournitures ou de services, conclus par l’Etat, les Etablissements publics ou les Collectivités locales et financés en totalité ou en partie par voie d’emprunt extérieur.</w:t>
      </w:r>
    </w:p>
    <w:p w:rsidR="001B31FD" w:rsidRDefault="00F23CF8" w:rsidP="00F23CF8">
      <w:pPr>
        <w:spacing w:after="0" w:line="360" w:lineRule="auto"/>
        <w:jc w:val="both"/>
        <w:rPr>
          <w:rFonts w:ascii="Arial" w:eastAsiaTheme="minorHAnsi" w:hAnsi="Arial" w:cs="Arial"/>
          <w:sz w:val="24"/>
          <w:szCs w:val="24"/>
        </w:rPr>
      </w:pPr>
      <w:r w:rsidRPr="00F23CF8">
        <w:rPr>
          <w:rFonts w:ascii="Arial" w:eastAsiaTheme="minorHAnsi" w:hAnsi="Arial" w:cs="Arial"/>
          <w:sz w:val="24"/>
          <w:szCs w:val="24"/>
        </w:rPr>
        <w:t xml:space="preserve">Les opérations financées par don ou subvention non remboursable sont soumises au </w:t>
      </w:r>
      <w:r w:rsidRPr="00F23CF8">
        <w:rPr>
          <w:rFonts w:ascii="Arial" w:eastAsiaTheme="minorHAnsi" w:hAnsi="Arial" w:cs="Arial"/>
          <w:b/>
          <w:sz w:val="24"/>
          <w:szCs w:val="24"/>
        </w:rPr>
        <w:t>régime de l’’exonération</w:t>
      </w:r>
      <w:r w:rsidRPr="00F23CF8">
        <w:rPr>
          <w:rFonts w:ascii="Arial" w:eastAsiaTheme="minorHAnsi" w:hAnsi="Arial" w:cs="Arial"/>
          <w:sz w:val="24"/>
          <w:szCs w:val="24"/>
        </w:rPr>
        <w:t xml:space="preserve"> se matérialisant par une procédure de visa des documents douaniers et des factures intérieures. </w:t>
      </w:r>
    </w:p>
    <w:p w:rsidR="00F23CF8" w:rsidRDefault="00F23CF8" w:rsidP="00F23CF8">
      <w:pPr>
        <w:spacing w:after="0" w:line="360" w:lineRule="auto"/>
        <w:jc w:val="both"/>
        <w:rPr>
          <w:rFonts w:ascii="Arial" w:eastAsiaTheme="minorHAnsi" w:hAnsi="Arial" w:cs="Arial"/>
          <w:sz w:val="24"/>
          <w:szCs w:val="24"/>
        </w:rPr>
      </w:pPr>
      <w:r w:rsidRPr="00F23CF8">
        <w:rPr>
          <w:rFonts w:ascii="Arial" w:eastAsiaTheme="minorHAnsi" w:hAnsi="Arial" w:cs="Arial"/>
          <w:sz w:val="24"/>
          <w:szCs w:val="24"/>
        </w:rPr>
        <w:t xml:space="preserve">Quant aux dons ou subventions bénéficiant d’un financement mixte (emprunt extérieur plus subvention ou ressources propres de l’Etat plus subvention), le régime applicable est celui du </w:t>
      </w:r>
      <w:r w:rsidRPr="00F23CF8">
        <w:rPr>
          <w:rFonts w:ascii="Arial" w:eastAsiaTheme="minorHAnsi" w:hAnsi="Arial" w:cs="Arial"/>
          <w:b/>
          <w:sz w:val="24"/>
          <w:szCs w:val="24"/>
        </w:rPr>
        <w:t>droit commun</w:t>
      </w:r>
      <w:r w:rsidRPr="00F23CF8">
        <w:rPr>
          <w:rFonts w:ascii="Arial" w:eastAsiaTheme="minorHAnsi" w:hAnsi="Arial" w:cs="Arial"/>
          <w:sz w:val="24"/>
          <w:szCs w:val="24"/>
        </w:rPr>
        <w:t>.</w:t>
      </w:r>
    </w:p>
    <w:p w:rsidR="00F23CF8" w:rsidRPr="00F23CF8" w:rsidRDefault="00F23CF8" w:rsidP="00F23CF8">
      <w:pPr>
        <w:spacing w:after="0" w:line="360" w:lineRule="auto"/>
        <w:jc w:val="both"/>
        <w:rPr>
          <w:rFonts w:ascii="Arial" w:eastAsiaTheme="minorHAnsi" w:hAnsi="Arial" w:cs="Arial"/>
          <w:sz w:val="24"/>
          <w:szCs w:val="24"/>
        </w:rPr>
      </w:pPr>
    </w:p>
    <w:p w:rsidR="00F23CF8" w:rsidRDefault="00F23CF8" w:rsidP="00055D11">
      <w:pPr>
        <w:spacing w:after="0" w:line="360" w:lineRule="auto"/>
        <w:contextualSpacing/>
        <w:jc w:val="both"/>
        <w:rPr>
          <w:rFonts w:ascii="Arial" w:eastAsiaTheme="minorHAnsi" w:hAnsi="Arial" w:cs="Arial"/>
          <w:b/>
          <w:sz w:val="24"/>
          <w:szCs w:val="24"/>
        </w:rPr>
      </w:pPr>
      <w:r w:rsidRPr="00F23CF8">
        <w:rPr>
          <w:rFonts w:ascii="Arial" w:eastAsiaTheme="minorHAnsi" w:hAnsi="Arial" w:cs="Arial"/>
          <w:b/>
          <w:sz w:val="24"/>
          <w:szCs w:val="24"/>
        </w:rPr>
        <w:t xml:space="preserve">Modalités </w:t>
      </w:r>
      <w:r w:rsidR="00B37A9C">
        <w:rPr>
          <w:rFonts w:ascii="Arial" w:eastAsiaTheme="minorHAnsi" w:hAnsi="Arial" w:cs="Arial"/>
          <w:b/>
          <w:sz w:val="24"/>
          <w:szCs w:val="24"/>
        </w:rPr>
        <w:t xml:space="preserve">de </w:t>
      </w:r>
      <w:r w:rsidRPr="00F23CF8">
        <w:rPr>
          <w:rFonts w:ascii="Arial" w:eastAsiaTheme="minorHAnsi" w:hAnsi="Arial" w:cs="Arial"/>
          <w:b/>
          <w:sz w:val="24"/>
          <w:szCs w:val="24"/>
        </w:rPr>
        <w:t>prise en charge</w:t>
      </w:r>
    </w:p>
    <w:p w:rsidR="00F23CF8" w:rsidRPr="00F23CF8" w:rsidRDefault="00F23CF8" w:rsidP="00F23CF8">
      <w:pPr>
        <w:spacing w:after="0" w:line="360" w:lineRule="auto"/>
        <w:contextualSpacing/>
        <w:jc w:val="both"/>
        <w:rPr>
          <w:rFonts w:ascii="Arial" w:eastAsiaTheme="minorHAnsi" w:hAnsi="Arial" w:cs="Arial"/>
          <w:b/>
          <w:sz w:val="24"/>
          <w:szCs w:val="24"/>
        </w:rPr>
      </w:pPr>
    </w:p>
    <w:p w:rsidR="00F23CF8" w:rsidRPr="00F23CF8" w:rsidRDefault="00F23CF8" w:rsidP="00F23CF8">
      <w:pPr>
        <w:spacing w:after="0" w:line="360" w:lineRule="auto"/>
        <w:jc w:val="both"/>
        <w:rPr>
          <w:rFonts w:ascii="Arial" w:eastAsiaTheme="minorHAnsi" w:hAnsi="Arial" w:cs="Arial"/>
          <w:sz w:val="24"/>
          <w:szCs w:val="24"/>
        </w:rPr>
      </w:pPr>
      <w:r w:rsidRPr="00F23CF8">
        <w:rPr>
          <w:rFonts w:ascii="Arial" w:eastAsiaTheme="minorHAnsi" w:hAnsi="Arial" w:cs="Arial"/>
          <w:sz w:val="24"/>
          <w:szCs w:val="24"/>
        </w:rPr>
        <w:t>Ainsi, en application des textes rappelés ci-dessus, les dépenses supportées par la partie financement extérieur des prêts projets de développement sont payées en hors taxes, hors douanes. Ces mêmes projets font l’objet de prise en charge systématique des impôts et taxes (droits d’enregistrement, taxes sur la valeur ajoutée et droits de douane) y afférents par l’Etat à travers le régime de la prise en charge.</w:t>
      </w:r>
    </w:p>
    <w:p w:rsidR="00F23CF8" w:rsidRDefault="00F23CF8" w:rsidP="00F23CF8">
      <w:pPr>
        <w:spacing w:after="0" w:line="360" w:lineRule="auto"/>
        <w:jc w:val="both"/>
        <w:rPr>
          <w:rFonts w:ascii="Arial" w:eastAsiaTheme="minorHAnsi" w:hAnsi="Arial" w:cs="Arial"/>
          <w:sz w:val="24"/>
          <w:szCs w:val="24"/>
        </w:rPr>
      </w:pPr>
      <w:r w:rsidRPr="00F23CF8">
        <w:rPr>
          <w:rFonts w:ascii="Arial" w:eastAsiaTheme="minorHAnsi" w:hAnsi="Arial" w:cs="Arial"/>
          <w:sz w:val="24"/>
          <w:szCs w:val="24"/>
        </w:rPr>
        <w:t>Le régime de la prise en charge consiste pour l’Etat à :</w:t>
      </w:r>
    </w:p>
    <w:p w:rsidR="00F23CF8" w:rsidRPr="00F23CF8" w:rsidRDefault="00F23CF8" w:rsidP="00F23CF8">
      <w:pPr>
        <w:spacing w:after="0" w:line="360" w:lineRule="auto"/>
        <w:jc w:val="both"/>
        <w:rPr>
          <w:rFonts w:ascii="Arial" w:eastAsiaTheme="minorHAnsi" w:hAnsi="Arial" w:cs="Arial"/>
          <w:sz w:val="24"/>
          <w:szCs w:val="24"/>
        </w:rPr>
      </w:pPr>
    </w:p>
    <w:p w:rsidR="00F23CF8" w:rsidRPr="00F23CF8" w:rsidRDefault="00F23CF8" w:rsidP="00F23CF8">
      <w:pPr>
        <w:pStyle w:val="Paragraphedeliste"/>
        <w:numPr>
          <w:ilvl w:val="0"/>
          <w:numId w:val="24"/>
        </w:numPr>
        <w:spacing w:line="360" w:lineRule="auto"/>
        <w:jc w:val="both"/>
        <w:rPr>
          <w:rFonts w:ascii="Arial" w:eastAsiaTheme="minorHAnsi" w:hAnsi="Arial" w:cs="Arial"/>
        </w:rPr>
      </w:pPr>
      <w:r w:rsidRPr="00F23CF8">
        <w:rPr>
          <w:rFonts w:ascii="Arial" w:eastAsiaTheme="minorHAnsi" w:hAnsi="Arial" w:cs="Arial"/>
        </w:rPr>
        <w:t>Prévoir une « avance à régulariser » pour le montant des crédits budgétaires ouverts sous deux rubriques :</w:t>
      </w:r>
    </w:p>
    <w:p w:rsidR="00F23CF8" w:rsidRPr="00F23CF8" w:rsidRDefault="00F23CF8" w:rsidP="00F23CF8">
      <w:pPr>
        <w:numPr>
          <w:ilvl w:val="0"/>
          <w:numId w:val="22"/>
        </w:numPr>
        <w:spacing w:after="0" w:line="360" w:lineRule="auto"/>
        <w:ind w:left="0" w:firstLine="0"/>
        <w:contextualSpacing/>
        <w:jc w:val="both"/>
        <w:rPr>
          <w:rFonts w:ascii="Arial" w:eastAsiaTheme="minorHAnsi" w:hAnsi="Arial" w:cs="Arial"/>
          <w:sz w:val="24"/>
          <w:szCs w:val="24"/>
        </w:rPr>
      </w:pPr>
      <w:r w:rsidRPr="00F23CF8">
        <w:rPr>
          <w:rFonts w:ascii="Arial" w:eastAsiaTheme="minorHAnsi" w:hAnsi="Arial" w:cs="Arial"/>
          <w:sz w:val="24"/>
          <w:szCs w:val="24"/>
        </w:rPr>
        <w:lastRenderedPageBreak/>
        <w:t>le paiement des droits et taxes des marchés de l’Etat financés sur ressources extérieures ;</w:t>
      </w:r>
    </w:p>
    <w:p w:rsidR="00F23CF8" w:rsidRDefault="00F23CF8" w:rsidP="00F23CF8">
      <w:pPr>
        <w:numPr>
          <w:ilvl w:val="0"/>
          <w:numId w:val="22"/>
        </w:numPr>
        <w:spacing w:after="0" w:line="360" w:lineRule="auto"/>
        <w:ind w:left="0" w:firstLine="0"/>
        <w:contextualSpacing/>
        <w:jc w:val="both"/>
        <w:rPr>
          <w:rFonts w:ascii="Arial" w:eastAsiaTheme="minorHAnsi" w:hAnsi="Arial" w:cs="Arial"/>
          <w:sz w:val="24"/>
          <w:szCs w:val="24"/>
        </w:rPr>
      </w:pPr>
      <w:r w:rsidRPr="00F23CF8">
        <w:rPr>
          <w:rFonts w:ascii="Arial" w:eastAsiaTheme="minorHAnsi" w:hAnsi="Arial" w:cs="Arial"/>
          <w:sz w:val="24"/>
          <w:szCs w:val="24"/>
        </w:rPr>
        <w:t>la mise en place d’un fonds de concours de l’Etat aux Etablissements publics pour le paiement des mêmes</w:t>
      </w:r>
      <w:r>
        <w:rPr>
          <w:rFonts w:ascii="Arial" w:eastAsiaTheme="minorHAnsi" w:hAnsi="Arial" w:cs="Arial"/>
          <w:sz w:val="24"/>
          <w:szCs w:val="24"/>
        </w:rPr>
        <w:t xml:space="preserve"> marchés ;</w:t>
      </w:r>
    </w:p>
    <w:p w:rsidR="00F23CF8" w:rsidRPr="00F23CF8" w:rsidRDefault="00F23CF8" w:rsidP="00F23CF8">
      <w:pPr>
        <w:spacing w:after="0" w:line="360" w:lineRule="auto"/>
        <w:contextualSpacing/>
        <w:jc w:val="both"/>
        <w:rPr>
          <w:rFonts w:ascii="Arial" w:eastAsiaTheme="minorHAnsi" w:hAnsi="Arial" w:cs="Arial"/>
          <w:sz w:val="24"/>
          <w:szCs w:val="24"/>
        </w:rPr>
      </w:pPr>
    </w:p>
    <w:p w:rsidR="00F23CF8" w:rsidRPr="00F23CF8" w:rsidRDefault="00F23CF8" w:rsidP="00F23CF8">
      <w:pPr>
        <w:pStyle w:val="Paragraphedeliste"/>
        <w:numPr>
          <w:ilvl w:val="0"/>
          <w:numId w:val="24"/>
        </w:numPr>
        <w:spacing w:line="360" w:lineRule="auto"/>
        <w:jc w:val="both"/>
        <w:rPr>
          <w:rFonts w:ascii="Arial" w:eastAsiaTheme="minorHAnsi" w:hAnsi="Arial" w:cs="Arial"/>
        </w:rPr>
      </w:pPr>
      <w:r w:rsidRPr="00F23CF8">
        <w:rPr>
          <w:rFonts w:ascii="Arial" w:eastAsiaTheme="minorHAnsi" w:hAnsi="Arial" w:cs="Arial"/>
        </w:rPr>
        <w:t>Emettre un chèque sur le Trésor (série spéciale) visé par le Payeur Général du Trésor à l’ordre du bénéficiaire, pour le compte du Percepteur de Dakar Port ou du Receveur des Taxes Indirectes.</w:t>
      </w:r>
    </w:p>
    <w:p w:rsidR="00F23CF8" w:rsidRPr="00F23CF8" w:rsidRDefault="00F23CF8" w:rsidP="00F23CF8">
      <w:pPr>
        <w:spacing w:after="0" w:line="360" w:lineRule="auto"/>
        <w:contextualSpacing/>
        <w:rPr>
          <w:rFonts w:ascii="Arial" w:eastAsiaTheme="minorHAnsi" w:hAnsi="Arial" w:cs="Arial"/>
          <w:b/>
          <w:sz w:val="24"/>
          <w:szCs w:val="24"/>
        </w:rPr>
      </w:pPr>
    </w:p>
    <w:p w:rsidR="00DD197C" w:rsidRPr="00055D11" w:rsidRDefault="00DD197C" w:rsidP="001B1CB9">
      <w:pPr>
        <w:autoSpaceDE w:val="0"/>
        <w:autoSpaceDN w:val="0"/>
        <w:adjustRightInd w:val="0"/>
        <w:spacing w:after="0" w:line="360" w:lineRule="auto"/>
        <w:jc w:val="both"/>
        <w:rPr>
          <w:rFonts w:ascii="Arial" w:eastAsiaTheme="minorHAnsi" w:hAnsi="Arial" w:cs="Arial"/>
          <w:b/>
          <w:strike/>
          <w:color w:val="000000"/>
          <w:sz w:val="24"/>
          <w:szCs w:val="24"/>
        </w:rPr>
      </w:pPr>
    </w:p>
    <w:sectPr w:rsidR="00DD197C" w:rsidRPr="00055D1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08C" w:rsidRDefault="00BE108C">
      <w:pPr>
        <w:spacing w:after="0" w:line="240" w:lineRule="auto"/>
      </w:pPr>
      <w:r>
        <w:separator/>
      </w:r>
    </w:p>
  </w:endnote>
  <w:endnote w:type="continuationSeparator" w:id="0">
    <w:p w:rsidR="00BE108C" w:rsidRDefault="00BE1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480488"/>
      <w:docPartObj>
        <w:docPartGallery w:val="Page Numbers (Bottom of Page)"/>
        <w:docPartUnique/>
      </w:docPartObj>
    </w:sdtPr>
    <w:sdtEndPr/>
    <w:sdtContent>
      <w:p w:rsidR="000B0219" w:rsidRPr="00E9050F" w:rsidRDefault="00C8423B" w:rsidP="000B0219">
        <w:pPr>
          <w:pStyle w:val="Pieddepage"/>
        </w:pPr>
        <w:r>
          <w:rPr>
            <w:noProof/>
            <w:lang w:eastAsia="fr-FR"/>
          </w:rPr>
          <mc:AlternateContent>
            <mc:Choice Requires="wps">
              <w:drawing>
                <wp:anchor distT="0" distB="0" distL="114300" distR="114300" simplePos="0" relativeHeight="251659264" behindDoc="0" locked="0" layoutInCell="0" allowOverlap="1"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C8423B" w:rsidRDefault="00C8423B">
                              <w:pPr>
                                <w:jc w:val="center"/>
                              </w:pPr>
                              <w:r>
                                <w:fldChar w:fldCharType="begin"/>
                              </w:r>
                              <w:r>
                                <w:instrText>PAGE    \* MERGEFORMAT</w:instrText>
                              </w:r>
                              <w:r>
                                <w:fldChar w:fldCharType="separate"/>
                              </w:r>
                              <w:r w:rsidR="001B31FD" w:rsidRPr="001B31FD">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C8423B" w:rsidRDefault="00C8423B">
                        <w:pPr>
                          <w:jc w:val="center"/>
                        </w:pPr>
                        <w:r>
                          <w:fldChar w:fldCharType="begin"/>
                        </w:r>
                        <w:r>
                          <w:instrText>PAGE    \* MERGEFORMAT</w:instrText>
                        </w:r>
                        <w:r>
                          <w:fldChar w:fldCharType="separate"/>
                        </w:r>
                        <w:r w:rsidR="001B31FD" w:rsidRPr="001B31FD">
                          <w:rPr>
                            <w:noProof/>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08C" w:rsidRDefault="00BE108C">
      <w:pPr>
        <w:spacing w:after="0" w:line="240" w:lineRule="auto"/>
      </w:pPr>
      <w:r>
        <w:separator/>
      </w:r>
    </w:p>
  </w:footnote>
  <w:footnote w:type="continuationSeparator" w:id="0">
    <w:p w:rsidR="00BE108C" w:rsidRDefault="00BE10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7B22"/>
    <w:multiLevelType w:val="hybridMultilevel"/>
    <w:tmpl w:val="1C208184"/>
    <w:lvl w:ilvl="0" w:tplc="925681D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B72B55"/>
    <w:multiLevelType w:val="hybridMultilevel"/>
    <w:tmpl w:val="968CEEB6"/>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0C9353B"/>
    <w:multiLevelType w:val="hybridMultilevel"/>
    <w:tmpl w:val="B5A04BDA"/>
    <w:lvl w:ilvl="0" w:tplc="90663654">
      <w:start w:val="1"/>
      <w:numFmt w:val="upperRoman"/>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1812A89"/>
    <w:multiLevelType w:val="hybridMultilevel"/>
    <w:tmpl w:val="D3FAD64A"/>
    <w:lvl w:ilvl="0" w:tplc="040C000F">
      <w:start w:val="1"/>
      <w:numFmt w:val="decimal"/>
      <w:lvlText w:val="%1."/>
      <w:lvlJc w:val="left"/>
      <w:pPr>
        <w:ind w:left="720" w:hanging="360"/>
      </w:pPr>
      <w:rPr>
        <w:rFonts w:hint="default"/>
        <w:b/>
        <w:i w:val="0"/>
        <w:strike w:val="0"/>
        <w:dstrike w:val="0"/>
        <w:sz w:val="28"/>
        <w:szCs w:val="36"/>
        <w:u w:val="none"/>
        <w:effect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4315934"/>
    <w:multiLevelType w:val="hybridMultilevel"/>
    <w:tmpl w:val="BF0A9A54"/>
    <w:lvl w:ilvl="0" w:tplc="F66AE3B8">
      <w:start w:val="1"/>
      <w:numFmt w:val="bullet"/>
      <w:lvlText w:val="•"/>
      <w:lvlJc w:val="left"/>
      <w:pPr>
        <w:tabs>
          <w:tab w:val="num" w:pos="720"/>
        </w:tabs>
        <w:ind w:left="720" w:hanging="360"/>
      </w:pPr>
      <w:rPr>
        <w:rFonts w:ascii="Arial" w:hAnsi="Arial" w:hint="default"/>
      </w:rPr>
    </w:lvl>
    <w:lvl w:ilvl="1" w:tplc="94504AC6" w:tentative="1">
      <w:start w:val="1"/>
      <w:numFmt w:val="bullet"/>
      <w:lvlText w:val="•"/>
      <w:lvlJc w:val="left"/>
      <w:pPr>
        <w:tabs>
          <w:tab w:val="num" w:pos="1440"/>
        </w:tabs>
        <w:ind w:left="1440" w:hanging="360"/>
      </w:pPr>
      <w:rPr>
        <w:rFonts w:ascii="Arial" w:hAnsi="Arial" w:hint="default"/>
      </w:rPr>
    </w:lvl>
    <w:lvl w:ilvl="2" w:tplc="20C47C40" w:tentative="1">
      <w:start w:val="1"/>
      <w:numFmt w:val="bullet"/>
      <w:lvlText w:val="•"/>
      <w:lvlJc w:val="left"/>
      <w:pPr>
        <w:tabs>
          <w:tab w:val="num" w:pos="2160"/>
        </w:tabs>
        <w:ind w:left="2160" w:hanging="360"/>
      </w:pPr>
      <w:rPr>
        <w:rFonts w:ascii="Arial" w:hAnsi="Arial" w:hint="default"/>
      </w:rPr>
    </w:lvl>
    <w:lvl w:ilvl="3" w:tplc="2C02B796" w:tentative="1">
      <w:start w:val="1"/>
      <w:numFmt w:val="bullet"/>
      <w:lvlText w:val="•"/>
      <w:lvlJc w:val="left"/>
      <w:pPr>
        <w:tabs>
          <w:tab w:val="num" w:pos="2880"/>
        </w:tabs>
        <w:ind w:left="2880" w:hanging="360"/>
      </w:pPr>
      <w:rPr>
        <w:rFonts w:ascii="Arial" w:hAnsi="Arial" w:hint="default"/>
      </w:rPr>
    </w:lvl>
    <w:lvl w:ilvl="4" w:tplc="AC84BBC6" w:tentative="1">
      <w:start w:val="1"/>
      <w:numFmt w:val="bullet"/>
      <w:lvlText w:val="•"/>
      <w:lvlJc w:val="left"/>
      <w:pPr>
        <w:tabs>
          <w:tab w:val="num" w:pos="3600"/>
        </w:tabs>
        <w:ind w:left="3600" w:hanging="360"/>
      </w:pPr>
      <w:rPr>
        <w:rFonts w:ascii="Arial" w:hAnsi="Arial" w:hint="default"/>
      </w:rPr>
    </w:lvl>
    <w:lvl w:ilvl="5" w:tplc="14E85296" w:tentative="1">
      <w:start w:val="1"/>
      <w:numFmt w:val="bullet"/>
      <w:lvlText w:val="•"/>
      <w:lvlJc w:val="left"/>
      <w:pPr>
        <w:tabs>
          <w:tab w:val="num" w:pos="4320"/>
        </w:tabs>
        <w:ind w:left="4320" w:hanging="360"/>
      </w:pPr>
      <w:rPr>
        <w:rFonts w:ascii="Arial" w:hAnsi="Arial" w:hint="default"/>
      </w:rPr>
    </w:lvl>
    <w:lvl w:ilvl="6" w:tplc="A78C364E" w:tentative="1">
      <w:start w:val="1"/>
      <w:numFmt w:val="bullet"/>
      <w:lvlText w:val="•"/>
      <w:lvlJc w:val="left"/>
      <w:pPr>
        <w:tabs>
          <w:tab w:val="num" w:pos="5040"/>
        </w:tabs>
        <w:ind w:left="5040" w:hanging="360"/>
      </w:pPr>
      <w:rPr>
        <w:rFonts w:ascii="Arial" w:hAnsi="Arial" w:hint="default"/>
      </w:rPr>
    </w:lvl>
    <w:lvl w:ilvl="7" w:tplc="C3FC4584" w:tentative="1">
      <w:start w:val="1"/>
      <w:numFmt w:val="bullet"/>
      <w:lvlText w:val="•"/>
      <w:lvlJc w:val="left"/>
      <w:pPr>
        <w:tabs>
          <w:tab w:val="num" w:pos="5760"/>
        </w:tabs>
        <w:ind w:left="5760" w:hanging="360"/>
      </w:pPr>
      <w:rPr>
        <w:rFonts w:ascii="Arial" w:hAnsi="Arial" w:hint="default"/>
      </w:rPr>
    </w:lvl>
    <w:lvl w:ilvl="8" w:tplc="646E54F2" w:tentative="1">
      <w:start w:val="1"/>
      <w:numFmt w:val="bullet"/>
      <w:lvlText w:val="•"/>
      <w:lvlJc w:val="left"/>
      <w:pPr>
        <w:tabs>
          <w:tab w:val="num" w:pos="6480"/>
        </w:tabs>
        <w:ind w:left="6480" w:hanging="360"/>
      </w:pPr>
      <w:rPr>
        <w:rFonts w:ascii="Arial" w:hAnsi="Arial" w:hint="default"/>
      </w:rPr>
    </w:lvl>
  </w:abstractNum>
  <w:abstractNum w:abstractNumId="5">
    <w:nsid w:val="18D678F2"/>
    <w:multiLevelType w:val="hybridMultilevel"/>
    <w:tmpl w:val="C5C00D4E"/>
    <w:lvl w:ilvl="0" w:tplc="040C0003">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6D85BCB"/>
    <w:multiLevelType w:val="hybridMultilevel"/>
    <w:tmpl w:val="C5F039C0"/>
    <w:lvl w:ilvl="0" w:tplc="040C000B">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nsid w:val="2EE82777"/>
    <w:multiLevelType w:val="hybridMultilevel"/>
    <w:tmpl w:val="53A8CE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2715A73"/>
    <w:multiLevelType w:val="multilevel"/>
    <w:tmpl w:val="89505692"/>
    <w:lvl w:ilvl="0">
      <w:start w:val="1"/>
      <w:numFmt w:val="decimal"/>
      <w:lvlText w:val="%1."/>
      <w:lvlJc w:val="left"/>
      <w:pPr>
        <w:ind w:left="720" w:hanging="360"/>
      </w:pPr>
      <w:rPr>
        <w:rFonts w:hint="default"/>
      </w:rPr>
    </w:lvl>
    <w:lvl w:ilvl="1">
      <w:start w:val="1"/>
      <w:numFmt w:val="decimal"/>
      <w:lvlText w:val="5.%2."/>
      <w:lvlJc w:val="left"/>
      <w:pPr>
        <w:ind w:left="1997" w:hanging="720"/>
      </w:pPr>
      <w:rPr>
        <w:rFonts w:hint="default"/>
        <w:b/>
        <w:i w:val="0"/>
        <w:strike w:val="0"/>
        <w:dstrike w:val="0"/>
        <w:sz w:val="22"/>
        <w:szCs w:val="22"/>
        <w:u w:val="none"/>
        <w:effect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4777230"/>
    <w:multiLevelType w:val="hybridMultilevel"/>
    <w:tmpl w:val="B6A2113E"/>
    <w:lvl w:ilvl="0" w:tplc="040C000D">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0">
    <w:nsid w:val="38583D1F"/>
    <w:multiLevelType w:val="hybridMultilevel"/>
    <w:tmpl w:val="4106D83E"/>
    <w:lvl w:ilvl="0" w:tplc="02C6AA06">
      <w:start w:val="1"/>
      <w:numFmt w:val="bullet"/>
      <w:lvlText w:val="-"/>
      <w:lvlJc w:val="left"/>
      <w:pPr>
        <w:ind w:left="720" w:hanging="360"/>
      </w:pPr>
      <w:rPr>
        <w:rFonts w:ascii="Tahoma" w:eastAsia="Calibri" w:hAnsi="Tahoma"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8A55FD1"/>
    <w:multiLevelType w:val="multilevel"/>
    <w:tmpl w:val="659452C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CAC5654"/>
    <w:multiLevelType w:val="hybridMultilevel"/>
    <w:tmpl w:val="DD685A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CD74039"/>
    <w:multiLevelType w:val="hybridMultilevel"/>
    <w:tmpl w:val="9ECA250E"/>
    <w:lvl w:ilvl="0" w:tplc="AEBE5C2C">
      <w:start w:val="1"/>
      <w:numFmt w:val="bullet"/>
      <w:lvlText w:val="-"/>
      <w:lvlJc w:val="left"/>
      <w:pPr>
        <w:ind w:left="2520" w:hanging="360"/>
      </w:pPr>
      <w:rPr>
        <w:rFonts w:ascii="Calibri" w:eastAsiaTheme="minorHAnsi" w:hAnsi="Calibri" w:cstheme="minorBidi"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4">
    <w:nsid w:val="3D2A343E"/>
    <w:multiLevelType w:val="hybridMultilevel"/>
    <w:tmpl w:val="6C2424CE"/>
    <w:lvl w:ilvl="0" w:tplc="040C000D">
      <w:start w:val="1"/>
      <w:numFmt w:val="bullet"/>
      <w:lvlText w:val=""/>
      <w:lvlJc w:val="left"/>
      <w:pPr>
        <w:tabs>
          <w:tab w:val="num" w:pos="720"/>
        </w:tabs>
        <w:ind w:left="720" w:hanging="360"/>
      </w:pPr>
      <w:rPr>
        <w:rFonts w:ascii="Wingdings" w:hAnsi="Wingdings" w:hint="default"/>
      </w:rPr>
    </w:lvl>
    <w:lvl w:ilvl="1" w:tplc="41A84AB2" w:tentative="1">
      <w:start w:val="1"/>
      <w:numFmt w:val="bullet"/>
      <w:lvlText w:val=""/>
      <w:lvlJc w:val="left"/>
      <w:pPr>
        <w:tabs>
          <w:tab w:val="num" w:pos="1440"/>
        </w:tabs>
        <w:ind w:left="1440" w:hanging="360"/>
      </w:pPr>
      <w:rPr>
        <w:rFonts w:ascii="Wingdings" w:hAnsi="Wingdings" w:hint="default"/>
      </w:rPr>
    </w:lvl>
    <w:lvl w:ilvl="2" w:tplc="01989B28" w:tentative="1">
      <w:start w:val="1"/>
      <w:numFmt w:val="bullet"/>
      <w:lvlText w:val=""/>
      <w:lvlJc w:val="left"/>
      <w:pPr>
        <w:tabs>
          <w:tab w:val="num" w:pos="2160"/>
        </w:tabs>
        <w:ind w:left="2160" w:hanging="360"/>
      </w:pPr>
      <w:rPr>
        <w:rFonts w:ascii="Wingdings" w:hAnsi="Wingdings" w:hint="default"/>
      </w:rPr>
    </w:lvl>
    <w:lvl w:ilvl="3" w:tplc="B7C6DBF8" w:tentative="1">
      <w:start w:val="1"/>
      <w:numFmt w:val="bullet"/>
      <w:lvlText w:val=""/>
      <w:lvlJc w:val="left"/>
      <w:pPr>
        <w:tabs>
          <w:tab w:val="num" w:pos="2880"/>
        </w:tabs>
        <w:ind w:left="2880" w:hanging="360"/>
      </w:pPr>
      <w:rPr>
        <w:rFonts w:ascii="Wingdings" w:hAnsi="Wingdings" w:hint="default"/>
      </w:rPr>
    </w:lvl>
    <w:lvl w:ilvl="4" w:tplc="5964DDE2" w:tentative="1">
      <w:start w:val="1"/>
      <w:numFmt w:val="bullet"/>
      <w:lvlText w:val=""/>
      <w:lvlJc w:val="left"/>
      <w:pPr>
        <w:tabs>
          <w:tab w:val="num" w:pos="3600"/>
        </w:tabs>
        <w:ind w:left="3600" w:hanging="360"/>
      </w:pPr>
      <w:rPr>
        <w:rFonts w:ascii="Wingdings" w:hAnsi="Wingdings" w:hint="default"/>
      </w:rPr>
    </w:lvl>
    <w:lvl w:ilvl="5" w:tplc="BA54B720" w:tentative="1">
      <w:start w:val="1"/>
      <w:numFmt w:val="bullet"/>
      <w:lvlText w:val=""/>
      <w:lvlJc w:val="left"/>
      <w:pPr>
        <w:tabs>
          <w:tab w:val="num" w:pos="4320"/>
        </w:tabs>
        <w:ind w:left="4320" w:hanging="360"/>
      </w:pPr>
      <w:rPr>
        <w:rFonts w:ascii="Wingdings" w:hAnsi="Wingdings" w:hint="default"/>
      </w:rPr>
    </w:lvl>
    <w:lvl w:ilvl="6" w:tplc="C07AA136" w:tentative="1">
      <w:start w:val="1"/>
      <w:numFmt w:val="bullet"/>
      <w:lvlText w:val=""/>
      <w:lvlJc w:val="left"/>
      <w:pPr>
        <w:tabs>
          <w:tab w:val="num" w:pos="5040"/>
        </w:tabs>
        <w:ind w:left="5040" w:hanging="360"/>
      </w:pPr>
      <w:rPr>
        <w:rFonts w:ascii="Wingdings" w:hAnsi="Wingdings" w:hint="default"/>
      </w:rPr>
    </w:lvl>
    <w:lvl w:ilvl="7" w:tplc="258E43BC" w:tentative="1">
      <w:start w:val="1"/>
      <w:numFmt w:val="bullet"/>
      <w:lvlText w:val=""/>
      <w:lvlJc w:val="left"/>
      <w:pPr>
        <w:tabs>
          <w:tab w:val="num" w:pos="5760"/>
        </w:tabs>
        <w:ind w:left="5760" w:hanging="360"/>
      </w:pPr>
      <w:rPr>
        <w:rFonts w:ascii="Wingdings" w:hAnsi="Wingdings" w:hint="default"/>
      </w:rPr>
    </w:lvl>
    <w:lvl w:ilvl="8" w:tplc="008663EE" w:tentative="1">
      <w:start w:val="1"/>
      <w:numFmt w:val="bullet"/>
      <w:lvlText w:val=""/>
      <w:lvlJc w:val="left"/>
      <w:pPr>
        <w:tabs>
          <w:tab w:val="num" w:pos="6480"/>
        </w:tabs>
        <w:ind w:left="6480" w:hanging="360"/>
      </w:pPr>
      <w:rPr>
        <w:rFonts w:ascii="Wingdings" w:hAnsi="Wingdings" w:hint="default"/>
      </w:rPr>
    </w:lvl>
  </w:abstractNum>
  <w:abstractNum w:abstractNumId="15">
    <w:nsid w:val="3D6E56CC"/>
    <w:multiLevelType w:val="hybridMultilevel"/>
    <w:tmpl w:val="15EECA88"/>
    <w:lvl w:ilvl="0" w:tplc="040C0003">
      <w:start w:val="1"/>
      <w:numFmt w:val="bullet"/>
      <w:lvlText w:val=""/>
      <w:lvlJc w:val="left"/>
      <w:pPr>
        <w:ind w:left="1800" w:hanging="360"/>
      </w:pPr>
      <w:rPr>
        <w:rFonts w:ascii="Wingdings" w:hAnsi="Wingdings"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6">
    <w:nsid w:val="3DFA518E"/>
    <w:multiLevelType w:val="hybridMultilevel"/>
    <w:tmpl w:val="E990C2CA"/>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7">
    <w:nsid w:val="41AE7D43"/>
    <w:multiLevelType w:val="hybridMultilevel"/>
    <w:tmpl w:val="B4EEB336"/>
    <w:lvl w:ilvl="0" w:tplc="040C0001">
      <w:start w:val="1"/>
      <w:numFmt w:val="bullet"/>
      <w:lvlText w:val=""/>
      <w:lvlJc w:val="left"/>
      <w:pPr>
        <w:ind w:left="1560" w:hanging="360"/>
      </w:pPr>
      <w:rPr>
        <w:rFonts w:ascii="Symbol" w:hAnsi="Symbol"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18">
    <w:nsid w:val="475B3203"/>
    <w:multiLevelType w:val="multilevel"/>
    <w:tmpl w:val="5D3E8F72"/>
    <w:lvl w:ilvl="0">
      <w:start w:val="1"/>
      <w:numFmt w:val="none"/>
      <w:pStyle w:val="AODocTxt"/>
      <w:suff w:val="nothing"/>
      <w:lvlText w:val=""/>
      <w:lvlJc w:val="left"/>
      <w:rPr>
        <w:rFonts w:cs="Times New Roman"/>
      </w:rPr>
    </w:lvl>
    <w:lvl w:ilvl="1">
      <w:start w:val="1"/>
      <w:numFmt w:val="decimal"/>
      <w:pStyle w:val="AODocTxtL1"/>
      <w:suff w:val="nothing"/>
      <w:lvlText w:val="%2."/>
      <w:lvlJc w:val="left"/>
      <w:pPr>
        <w:ind w:left="1135"/>
      </w:pPr>
      <w:rPr>
        <w:rFonts w:ascii="Times New Roman" w:eastAsia="SimSun" w:hAnsi="Times New Roman" w:cs="Times New Roman"/>
        <w:lang w:val="fr-FR"/>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19">
    <w:nsid w:val="545C0EDE"/>
    <w:multiLevelType w:val="hybridMultilevel"/>
    <w:tmpl w:val="EAAC7CA4"/>
    <w:lvl w:ilvl="0" w:tplc="03927BE4">
      <w:start w:val="1"/>
      <w:numFmt w:val="decimal"/>
      <w:lvlText w:val="%1."/>
      <w:lvlJc w:val="left"/>
      <w:pPr>
        <w:tabs>
          <w:tab w:val="num" w:pos="284"/>
        </w:tabs>
        <w:ind w:left="284" w:hanging="284"/>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56CF0873"/>
    <w:multiLevelType w:val="hybridMultilevel"/>
    <w:tmpl w:val="38BCF33C"/>
    <w:lvl w:ilvl="0" w:tplc="AE08FDA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C8076E0"/>
    <w:multiLevelType w:val="hybridMultilevel"/>
    <w:tmpl w:val="DD3A78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2842646"/>
    <w:multiLevelType w:val="hybridMultilevel"/>
    <w:tmpl w:val="370C470E"/>
    <w:lvl w:ilvl="0" w:tplc="DAD4A1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82F256F"/>
    <w:multiLevelType w:val="hybridMultilevel"/>
    <w:tmpl w:val="2F44A3DC"/>
    <w:lvl w:ilvl="0" w:tplc="832EFB10">
      <w:numFmt w:val="bullet"/>
      <w:lvlText w:val="-"/>
      <w:lvlJc w:val="left"/>
      <w:pPr>
        <w:ind w:left="1920" w:hanging="360"/>
      </w:pPr>
      <w:rPr>
        <w:rFonts w:ascii="Book Antiqua" w:eastAsia="Calibri" w:hAnsi="Book Antiqua" w:cs="Arial"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24">
    <w:nsid w:val="6D58108D"/>
    <w:multiLevelType w:val="hybridMultilevel"/>
    <w:tmpl w:val="4E0C7A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5936C68"/>
    <w:multiLevelType w:val="hybridMultilevel"/>
    <w:tmpl w:val="16FC3C10"/>
    <w:lvl w:ilvl="0" w:tplc="132E3928">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92D7A31"/>
    <w:multiLevelType w:val="hybridMultilevel"/>
    <w:tmpl w:val="E32A55FC"/>
    <w:lvl w:ilvl="0" w:tplc="040C0003">
      <w:start w:val="1"/>
      <w:numFmt w:val="bullet"/>
      <w:lvlText w:val=""/>
      <w:lvlJc w:val="left"/>
      <w:pPr>
        <w:ind w:left="720" w:hanging="360"/>
      </w:pPr>
      <w:rPr>
        <w:rFonts w:ascii="Wingdings" w:hAnsi="Wingdings" w:hint="default"/>
      </w:rPr>
    </w:lvl>
    <w:lvl w:ilvl="1" w:tplc="040C0003">
      <w:start w:val="1"/>
      <w:numFmt w:val="bullet"/>
      <w:lvlText w:val="o"/>
      <w:lvlJc w:val="left"/>
      <w:pPr>
        <w:ind w:left="1211"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ACF3385"/>
    <w:multiLevelType w:val="hybridMultilevel"/>
    <w:tmpl w:val="F322FA42"/>
    <w:lvl w:ilvl="0" w:tplc="9EFE25A8">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7"/>
  </w:num>
  <w:num w:numId="4">
    <w:abstractNumId w:val="25"/>
  </w:num>
  <w:num w:numId="5">
    <w:abstractNumId w:val="2"/>
  </w:num>
  <w:num w:numId="6">
    <w:abstractNumId w:val="20"/>
  </w:num>
  <w:num w:numId="7">
    <w:abstractNumId w:val="11"/>
  </w:num>
  <w:num w:numId="8">
    <w:abstractNumId w:val="24"/>
  </w:num>
  <w:num w:numId="9">
    <w:abstractNumId w:val="14"/>
  </w:num>
  <w:num w:numId="10">
    <w:abstractNumId w:val="15"/>
  </w:num>
  <w:num w:numId="11">
    <w:abstractNumId w:val="23"/>
  </w:num>
  <w:num w:numId="12">
    <w:abstractNumId w:val="26"/>
  </w:num>
  <w:num w:numId="13">
    <w:abstractNumId w:val="19"/>
  </w:num>
  <w:num w:numId="14">
    <w:abstractNumId w:val="8"/>
  </w:num>
  <w:num w:numId="15">
    <w:abstractNumId w:val="0"/>
  </w:num>
  <w:num w:numId="16">
    <w:abstractNumId w:val="16"/>
  </w:num>
  <w:num w:numId="17">
    <w:abstractNumId w:val="3"/>
  </w:num>
  <w:num w:numId="18">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3"/>
  </w:num>
  <w:num w:numId="23">
    <w:abstractNumId w:val="21"/>
  </w:num>
  <w:num w:numId="24">
    <w:abstractNumId w:val="5"/>
  </w:num>
  <w:num w:numId="25">
    <w:abstractNumId w:val="9"/>
  </w:num>
  <w:num w:numId="26">
    <w:abstractNumId w:val="10"/>
  </w:num>
  <w:num w:numId="27">
    <w:abstractNumId w:val="4"/>
  </w:num>
  <w:num w:numId="28">
    <w:abstractNumId w:val="27"/>
  </w:num>
  <w:num w:numId="29">
    <w:abstractNumId w:val="7"/>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DF5"/>
    <w:rsid w:val="00055D11"/>
    <w:rsid w:val="000B0219"/>
    <w:rsid w:val="00137B1C"/>
    <w:rsid w:val="001B1CB9"/>
    <w:rsid w:val="001B31FD"/>
    <w:rsid w:val="002646FB"/>
    <w:rsid w:val="00265759"/>
    <w:rsid w:val="002A5355"/>
    <w:rsid w:val="002E7C6F"/>
    <w:rsid w:val="003457CE"/>
    <w:rsid w:val="00384EF9"/>
    <w:rsid w:val="003B186D"/>
    <w:rsid w:val="00420CE7"/>
    <w:rsid w:val="004B167C"/>
    <w:rsid w:val="00503237"/>
    <w:rsid w:val="005A6385"/>
    <w:rsid w:val="005D7DBE"/>
    <w:rsid w:val="0068682D"/>
    <w:rsid w:val="006B1766"/>
    <w:rsid w:val="00762158"/>
    <w:rsid w:val="007E453F"/>
    <w:rsid w:val="008A3426"/>
    <w:rsid w:val="00954474"/>
    <w:rsid w:val="00956652"/>
    <w:rsid w:val="0096586A"/>
    <w:rsid w:val="009709CC"/>
    <w:rsid w:val="0097452E"/>
    <w:rsid w:val="009D5E76"/>
    <w:rsid w:val="009F0A25"/>
    <w:rsid w:val="00A46AEF"/>
    <w:rsid w:val="00A65CC4"/>
    <w:rsid w:val="00AD0345"/>
    <w:rsid w:val="00B37A9C"/>
    <w:rsid w:val="00BE108C"/>
    <w:rsid w:val="00C234A8"/>
    <w:rsid w:val="00C45DDE"/>
    <w:rsid w:val="00C50AC7"/>
    <w:rsid w:val="00C8423B"/>
    <w:rsid w:val="00CF28F4"/>
    <w:rsid w:val="00DD197C"/>
    <w:rsid w:val="00E3069B"/>
    <w:rsid w:val="00E35C9F"/>
    <w:rsid w:val="00E44DF5"/>
    <w:rsid w:val="00E961C7"/>
    <w:rsid w:val="00F23CF8"/>
    <w:rsid w:val="00F645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DF5"/>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ODocTxt">
    <w:name w:val="AODocTxt"/>
    <w:basedOn w:val="Normal"/>
    <w:rsid w:val="00E44DF5"/>
    <w:pPr>
      <w:numPr>
        <w:numId w:val="1"/>
      </w:numPr>
      <w:spacing w:before="240" w:after="0" w:line="260" w:lineRule="atLeast"/>
      <w:jc w:val="both"/>
    </w:pPr>
    <w:rPr>
      <w:rFonts w:ascii="Times New Roman" w:eastAsia="SimSun" w:hAnsi="Times New Roman"/>
      <w:lang w:val="en-GB"/>
    </w:rPr>
  </w:style>
  <w:style w:type="paragraph" w:customStyle="1" w:styleId="AODocTxtL1">
    <w:name w:val="AODocTxtL1"/>
    <w:basedOn w:val="AODocTxt"/>
    <w:rsid w:val="00E44DF5"/>
    <w:pPr>
      <w:numPr>
        <w:ilvl w:val="1"/>
      </w:numPr>
    </w:pPr>
  </w:style>
  <w:style w:type="paragraph" w:customStyle="1" w:styleId="AODocTxtL2">
    <w:name w:val="AODocTxtL2"/>
    <w:basedOn w:val="AODocTxt"/>
    <w:rsid w:val="00E44DF5"/>
    <w:pPr>
      <w:numPr>
        <w:ilvl w:val="2"/>
      </w:numPr>
    </w:pPr>
  </w:style>
  <w:style w:type="paragraph" w:customStyle="1" w:styleId="AODocTxtL3">
    <w:name w:val="AODocTxtL3"/>
    <w:basedOn w:val="AODocTxt"/>
    <w:rsid w:val="00E44DF5"/>
    <w:pPr>
      <w:numPr>
        <w:ilvl w:val="3"/>
      </w:numPr>
    </w:pPr>
  </w:style>
  <w:style w:type="paragraph" w:customStyle="1" w:styleId="AODocTxtL4">
    <w:name w:val="AODocTxtL4"/>
    <w:basedOn w:val="AODocTxt"/>
    <w:rsid w:val="00E44DF5"/>
    <w:pPr>
      <w:numPr>
        <w:ilvl w:val="4"/>
      </w:numPr>
    </w:pPr>
  </w:style>
  <w:style w:type="paragraph" w:customStyle="1" w:styleId="AODocTxtL5">
    <w:name w:val="AODocTxtL5"/>
    <w:basedOn w:val="AODocTxt"/>
    <w:rsid w:val="00E44DF5"/>
    <w:pPr>
      <w:numPr>
        <w:ilvl w:val="5"/>
      </w:numPr>
    </w:pPr>
  </w:style>
  <w:style w:type="paragraph" w:customStyle="1" w:styleId="AODocTxtL6">
    <w:name w:val="AODocTxtL6"/>
    <w:basedOn w:val="AODocTxt"/>
    <w:rsid w:val="00E44DF5"/>
    <w:pPr>
      <w:numPr>
        <w:ilvl w:val="6"/>
      </w:numPr>
    </w:pPr>
  </w:style>
  <w:style w:type="paragraph" w:customStyle="1" w:styleId="AODocTxtL7">
    <w:name w:val="AODocTxtL7"/>
    <w:basedOn w:val="AODocTxt"/>
    <w:rsid w:val="00E44DF5"/>
    <w:pPr>
      <w:numPr>
        <w:ilvl w:val="7"/>
      </w:numPr>
    </w:pPr>
  </w:style>
  <w:style w:type="paragraph" w:customStyle="1" w:styleId="AODocTxtL8">
    <w:name w:val="AODocTxtL8"/>
    <w:basedOn w:val="AODocTxt"/>
    <w:rsid w:val="00E44DF5"/>
    <w:pPr>
      <w:numPr>
        <w:ilvl w:val="8"/>
      </w:numPr>
    </w:pPr>
  </w:style>
  <w:style w:type="character" w:customStyle="1" w:styleId="longtext">
    <w:name w:val="long_text"/>
    <w:basedOn w:val="Policepardfaut"/>
    <w:rsid w:val="00E44DF5"/>
  </w:style>
  <w:style w:type="paragraph" w:styleId="Paragraphedeliste">
    <w:name w:val="List Paragraph"/>
    <w:basedOn w:val="Normal"/>
    <w:link w:val="ParagraphedelisteCar"/>
    <w:uiPriority w:val="34"/>
    <w:qFormat/>
    <w:rsid w:val="00E44DF5"/>
    <w:pPr>
      <w:spacing w:after="0" w:line="240" w:lineRule="auto"/>
      <w:ind w:left="720"/>
      <w:contextualSpacing/>
    </w:pPr>
    <w:rPr>
      <w:rFonts w:ascii="Times New Roman" w:eastAsia="Times New Roman" w:hAnsi="Times New Roman"/>
      <w:sz w:val="24"/>
      <w:szCs w:val="24"/>
      <w:lang w:val="x-none" w:eastAsia="fr-FR"/>
    </w:rPr>
  </w:style>
  <w:style w:type="character" w:customStyle="1" w:styleId="ParagraphedelisteCar">
    <w:name w:val="Paragraphe de liste Car"/>
    <w:link w:val="Paragraphedeliste"/>
    <w:uiPriority w:val="34"/>
    <w:rsid w:val="00E44DF5"/>
    <w:rPr>
      <w:rFonts w:ascii="Times New Roman" w:eastAsia="Times New Roman" w:hAnsi="Times New Roman" w:cs="Times New Roman"/>
      <w:sz w:val="24"/>
      <w:szCs w:val="24"/>
      <w:lang w:val="x-none" w:eastAsia="fr-FR"/>
    </w:rPr>
  </w:style>
  <w:style w:type="paragraph" w:styleId="En-tte">
    <w:name w:val="header"/>
    <w:basedOn w:val="Normal"/>
    <w:link w:val="En-tteCar"/>
    <w:uiPriority w:val="99"/>
    <w:unhideWhenUsed/>
    <w:rsid w:val="000B0219"/>
    <w:pPr>
      <w:tabs>
        <w:tab w:val="center" w:pos="4536"/>
        <w:tab w:val="right" w:pos="9072"/>
      </w:tabs>
      <w:spacing w:after="0" w:line="240" w:lineRule="auto"/>
    </w:pPr>
  </w:style>
  <w:style w:type="character" w:customStyle="1" w:styleId="En-tteCar">
    <w:name w:val="En-tête Car"/>
    <w:basedOn w:val="Policepardfaut"/>
    <w:link w:val="En-tte"/>
    <w:uiPriority w:val="99"/>
    <w:rsid w:val="000B0219"/>
    <w:rPr>
      <w:rFonts w:ascii="Calibri" w:eastAsia="Calibri" w:hAnsi="Calibri" w:cs="Times New Roman"/>
    </w:rPr>
  </w:style>
  <w:style w:type="paragraph" w:styleId="Pieddepage">
    <w:name w:val="footer"/>
    <w:basedOn w:val="Normal"/>
    <w:link w:val="PieddepageCar"/>
    <w:uiPriority w:val="99"/>
    <w:unhideWhenUsed/>
    <w:rsid w:val="000B02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0219"/>
    <w:rPr>
      <w:rFonts w:ascii="Calibri" w:eastAsia="Calibri" w:hAnsi="Calibri" w:cs="Times New Roman"/>
    </w:rPr>
  </w:style>
  <w:style w:type="paragraph" w:styleId="Textedebulles">
    <w:name w:val="Balloon Text"/>
    <w:basedOn w:val="Normal"/>
    <w:link w:val="TextedebullesCar"/>
    <w:uiPriority w:val="99"/>
    <w:semiHidden/>
    <w:unhideWhenUsed/>
    <w:rsid w:val="006868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682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DF5"/>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ODocTxt">
    <w:name w:val="AODocTxt"/>
    <w:basedOn w:val="Normal"/>
    <w:rsid w:val="00E44DF5"/>
    <w:pPr>
      <w:numPr>
        <w:numId w:val="1"/>
      </w:numPr>
      <w:spacing w:before="240" w:after="0" w:line="260" w:lineRule="atLeast"/>
      <w:jc w:val="both"/>
    </w:pPr>
    <w:rPr>
      <w:rFonts w:ascii="Times New Roman" w:eastAsia="SimSun" w:hAnsi="Times New Roman"/>
      <w:lang w:val="en-GB"/>
    </w:rPr>
  </w:style>
  <w:style w:type="paragraph" w:customStyle="1" w:styleId="AODocTxtL1">
    <w:name w:val="AODocTxtL1"/>
    <w:basedOn w:val="AODocTxt"/>
    <w:rsid w:val="00E44DF5"/>
    <w:pPr>
      <w:numPr>
        <w:ilvl w:val="1"/>
      </w:numPr>
    </w:pPr>
  </w:style>
  <w:style w:type="paragraph" w:customStyle="1" w:styleId="AODocTxtL2">
    <w:name w:val="AODocTxtL2"/>
    <w:basedOn w:val="AODocTxt"/>
    <w:rsid w:val="00E44DF5"/>
    <w:pPr>
      <w:numPr>
        <w:ilvl w:val="2"/>
      </w:numPr>
    </w:pPr>
  </w:style>
  <w:style w:type="paragraph" w:customStyle="1" w:styleId="AODocTxtL3">
    <w:name w:val="AODocTxtL3"/>
    <w:basedOn w:val="AODocTxt"/>
    <w:rsid w:val="00E44DF5"/>
    <w:pPr>
      <w:numPr>
        <w:ilvl w:val="3"/>
      </w:numPr>
    </w:pPr>
  </w:style>
  <w:style w:type="paragraph" w:customStyle="1" w:styleId="AODocTxtL4">
    <w:name w:val="AODocTxtL4"/>
    <w:basedOn w:val="AODocTxt"/>
    <w:rsid w:val="00E44DF5"/>
    <w:pPr>
      <w:numPr>
        <w:ilvl w:val="4"/>
      </w:numPr>
    </w:pPr>
  </w:style>
  <w:style w:type="paragraph" w:customStyle="1" w:styleId="AODocTxtL5">
    <w:name w:val="AODocTxtL5"/>
    <w:basedOn w:val="AODocTxt"/>
    <w:rsid w:val="00E44DF5"/>
    <w:pPr>
      <w:numPr>
        <w:ilvl w:val="5"/>
      </w:numPr>
    </w:pPr>
  </w:style>
  <w:style w:type="paragraph" w:customStyle="1" w:styleId="AODocTxtL6">
    <w:name w:val="AODocTxtL6"/>
    <w:basedOn w:val="AODocTxt"/>
    <w:rsid w:val="00E44DF5"/>
    <w:pPr>
      <w:numPr>
        <w:ilvl w:val="6"/>
      </w:numPr>
    </w:pPr>
  </w:style>
  <w:style w:type="paragraph" w:customStyle="1" w:styleId="AODocTxtL7">
    <w:name w:val="AODocTxtL7"/>
    <w:basedOn w:val="AODocTxt"/>
    <w:rsid w:val="00E44DF5"/>
    <w:pPr>
      <w:numPr>
        <w:ilvl w:val="7"/>
      </w:numPr>
    </w:pPr>
  </w:style>
  <w:style w:type="paragraph" w:customStyle="1" w:styleId="AODocTxtL8">
    <w:name w:val="AODocTxtL8"/>
    <w:basedOn w:val="AODocTxt"/>
    <w:rsid w:val="00E44DF5"/>
    <w:pPr>
      <w:numPr>
        <w:ilvl w:val="8"/>
      </w:numPr>
    </w:pPr>
  </w:style>
  <w:style w:type="character" w:customStyle="1" w:styleId="longtext">
    <w:name w:val="long_text"/>
    <w:basedOn w:val="Policepardfaut"/>
    <w:rsid w:val="00E44DF5"/>
  </w:style>
  <w:style w:type="paragraph" w:styleId="Paragraphedeliste">
    <w:name w:val="List Paragraph"/>
    <w:basedOn w:val="Normal"/>
    <w:link w:val="ParagraphedelisteCar"/>
    <w:uiPriority w:val="34"/>
    <w:qFormat/>
    <w:rsid w:val="00E44DF5"/>
    <w:pPr>
      <w:spacing w:after="0" w:line="240" w:lineRule="auto"/>
      <w:ind w:left="720"/>
      <w:contextualSpacing/>
    </w:pPr>
    <w:rPr>
      <w:rFonts w:ascii="Times New Roman" w:eastAsia="Times New Roman" w:hAnsi="Times New Roman"/>
      <w:sz w:val="24"/>
      <w:szCs w:val="24"/>
      <w:lang w:val="x-none" w:eastAsia="fr-FR"/>
    </w:rPr>
  </w:style>
  <w:style w:type="character" w:customStyle="1" w:styleId="ParagraphedelisteCar">
    <w:name w:val="Paragraphe de liste Car"/>
    <w:link w:val="Paragraphedeliste"/>
    <w:uiPriority w:val="34"/>
    <w:rsid w:val="00E44DF5"/>
    <w:rPr>
      <w:rFonts w:ascii="Times New Roman" w:eastAsia="Times New Roman" w:hAnsi="Times New Roman" w:cs="Times New Roman"/>
      <w:sz w:val="24"/>
      <w:szCs w:val="24"/>
      <w:lang w:val="x-none" w:eastAsia="fr-FR"/>
    </w:rPr>
  </w:style>
  <w:style w:type="paragraph" w:styleId="En-tte">
    <w:name w:val="header"/>
    <w:basedOn w:val="Normal"/>
    <w:link w:val="En-tteCar"/>
    <w:uiPriority w:val="99"/>
    <w:unhideWhenUsed/>
    <w:rsid w:val="000B0219"/>
    <w:pPr>
      <w:tabs>
        <w:tab w:val="center" w:pos="4536"/>
        <w:tab w:val="right" w:pos="9072"/>
      </w:tabs>
      <w:spacing w:after="0" w:line="240" w:lineRule="auto"/>
    </w:pPr>
  </w:style>
  <w:style w:type="character" w:customStyle="1" w:styleId="En-tteCar">
    <w:name w:val="En-tête Car"/>
    <w:basedOn w:val="Policepardfaut"/>
    <w:link w:val="En-tte"/>
    <w:uiPriority w:val="99"/>
    <w:rsid w:val="000B0219"/>
    <w:rPr>
      <w:rFonts w:ascii="Calibri" w:eastAsia="Calibri" w:hAnsi="Calibri" w:cs="Times New Roman"/>
    </w:rPr>
  </w:style>
  <w:style w:type="paragraph" w:styleId="Pieddepage">
    <w:name w:val="footer"/>
    <w:basedOn w:val="Normal"/>
    <w:link w:val="PieddepageCar"/>
    <w:uiPriority w:val="99"/>
    <w:unhideWhenUsed/>
    <w:rsid w:val="000B02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0219"/>
    <w:rPr>
      <w:rFonts w:ascii="Calibri" w:eastAsia="Calibri" w:hAnsi="Calibri" w:cs="Times New Roman"/>
    </w:rPr>
  </w:style>
  <w:style w:type="paragraph" w:styleId="Textedebulles">
    <w:name w:val="Balloon Text"/>
    <w:basedOn w:val="Normal"/>
    <w:link w:val="TextedebullesCar"/>
    <w:uiPriority w:val="99"/>
    <w:semiHidden/>
    <w:unhideWhenUsed/>
    <w:rsid w:val="006868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682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350</Words>
  <Characters>1925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5</cp:revision>
  <cp:lastPrinted>2018-09-10T18:16:00Z</cp:lastPrinted>
  <dcterms:created xsi:type="dcterms:W3CDTF">2018-09-14T18:29:00Z</dcterms:created>
  <dcterms:modified xsi:type="dcterms:W3CDTF">2018-10-05T16:28:00Z</dcterms:modified>
</cp:coreProperties>
</file>