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57" w:rsidRPr="00E3715D" w:rsidRDefault="00016C57" w:rsidP="00E3715D">
      <w:pPr>
        <w:pStyle w:val="Paragraphedeliste"/>
        <w:numPr>
          <w:ilvl w:val="0"/>
          <w:numId w:val="19"/>
        </w:numPr>
        <w:spacing w:after="0" w:line="360" w:lineRule="auto"/>
        <w:jc w:val="both"/>
        <w:rPr>
          <w:rFonts w:ascii="Tahoma" w:hAnsi="Tahoma" w:cs="Tahoma"/>
          <w:b/>
          <w:sz w:val="24"/>
          <w:szCs w:val="24"/>
        </w:rPr>
      </w:pPr>
      <w:r w:rsidRPr="00E3715D">
        <w:rPr>
          <w:rFonts w:ascii="Tahoma" w:hAnsi="Tahoma" w:cs="Tahoma"/>
          <w:b/>
          <w:sz w:val="24"/>
          <w:szCs w:val="24"/>
        </w:rPr>
        <w:t xml:space="preserve">Mise en place des crédits </w:t>
      </w:r>
    </w:p>
    <w:p w:rsidR="00016C57" w:rsidRPr="00016C57" w:rsidRDefault="00016C57" w:rsidP="00E3715D">
      <w:pPr>
        <w:spacing w:after="0" w:line="360" w:lineRule="auto"/>
        <w:jc w:val="both"/>
        <w:rPr>
          <w:rFonts w:ascii="Tahoma" w:hAnsi="Tahoma" w:cs="Tahoma"/>
          <w:sz w:val="24"/>
          <w:szCs w:val="24"/>
        </w:rPr>
      </w:pPr>
      <w:r w:rsidRPr="00016C57">
        <w:rPr>
          <w:rFonts w:ascii="Tahoma" w:hAnsi="Tahoma" w:cs="Tahoma"/>
          <w:sz w:val="24"/>
          <w:szCs w:val="24"/>
        </w:rPr>
        <w:t xml:space="preserve">Il s’agit de saisir, dans le </w:t>
      </w:r>
      <w:r w:rsidR="00E3715D">
        <w:rPr>
          <w:rFonts w:ascii="Tahoma" w:hAnsi="Tahoma" w:cs="Tahoma"/>
          <w:sz w:val="24"/>
          <w:szCs w:val="24"/>
        </w:rPr>
        <w:t>Système d’information de gestion des Finances Publiques (S</w:t>
      </w:r>
      <w:r w:rsidRPr="00016C57">
        <w:rPr>
          <w:rFonts w:ascii="Tahoma" w:hAnsi="Tahoma" w:cs="Tahoma"/>
          <w:sz w:val="24"/>
          <w:szCs w:val="24"/>
        </w:rPr>
        <w:t>IGFIP</w:t>
      </w:r>
      <w:r w:rsidR="00E3715D">
        <w:rPr>
          <w:rFonts w:ascii="Tahoma" w:hAnsi="Tahoma" w:cs="Tahoma"/>
          <w:sz w:val="24"/>
          <w:szCs w:val="24"/>
        </w:rPr>
        <w:t>)</w:t>
      </w:r>
      <w:r w:rsidRPr="00016C57">
        <w:rPr>
          <w:rFonts w:ascii="Tahoma" w:hAnsi="Tahoma" w:cs="Tahoma"/>
          <w:sz w:val="24"/>
          <w:szCs w:val="24"/>
        </w:rPr>
        <w:t xml:space="preserve">, les références de la </w:t>
      </w:r>
      <w:r w:rsidR="00E3715D" w:rsidRPr="00016C57">
        <w:rPr>
          <w:rFonts w:ascii="Tahoma" w:hAnsi="Tahoma" w:cs="Tahoma"/>
          <w:sz w:val="24"/>
          <w:szCs w:val="24"/>
        </w:rPr>
        <w:t>L</w:t>
      </w:r>
      <w:r w:rsidR="00E3715D">
        <w:rPr>
          <w:rFonts w:ascii="Tahoma" w:hAnsi="Tahoma" w:cs="Tahoma"/>
          <w:sz w:val="24"/>
          <w:szCs w:val="24"/>
        </w:rPr>
        <w:t xml:space="preserve">oi de </w:t>
      </w:r>
      <w:r w:rsidR="00E3715D" w:rsidRPr="00016C57">
        <w:rPr>
          <w:rFonts w:ascii="Tahoma" w:hAnsi="Tahoma" w:cs="Tahoma"/>
          <w:sz w:val="24"/>
          <w:szCs w:val="24"/>
        </w:rPr>
        <w:t>F</w:t>
      </w:r>
      <w:r w:rsidR="00E3715D">
        <w:rPr>
          <w:rFonts w:ascii="Tahoma" w:hAnsi="Tahoma" w:cs="Tahoma"/>
          <w:sz w:val="24"/>
          <w:szCs w:val="24"/>
        </w:rPr>
        <w:t xml:space="preserve">inances (LF) </w:t>
      </w:r>
      <w:r w:rsidR="00E3715D" w:rsidRPr="00016C57">
        <w:rPr>
          <w:rFonts w:ascii="Tahoma" w:hAnsi="Tahoma" w:cs="Tahoma"/>
          <w:sz w:val="24"/>
          <w:szCs w:val="24"/>
        </w:rPr>
        <w:t>et</w:t>
      </w:r>
      <w:r w:rsidRPr="00016C57">
        <w:rPr>
          <w:rFonts w:ascii="Tahoma" w:hAnsi="Tahoma" w:cs="Tahoma"/>
          <w:sz w:val="24"/>
          <w:szCs w:val="24"/>
        </w:rPr>
        <w:t xml:space="preserve"> des décrets de répartition des crédits et de basculer les données de la base « préparation » à la base « exécution » pour verrouiller automatiquement toutes les données du budget.</w:t>
      </w:r>
    </w:p>
    <w:p w:rsidR="00016C57" w:rsidRPr="00016C57" w:rsidRDefault="00E3715D" w:rsidP="00E3715D">
      <w:pPr>
        <w:spacing w:after="0" w:line="360" w:lineRule="auto"/>
        <w:jc w:val="both"/>
        <w:rPr>
          <w:rFonts w:ascii="Tahoma" w:hAnsi="Tahoma" w:cs="Tahoma"/>
          <w:sz w:val="24"/>
          <w:szCs w:val="24"/>
        </w:rPr>
      </w:pPr>
      <w:r>
        <w:rPr>
          <w:rFonts w:ascii="Tahoma" w:hAnsi="Tahoma" w:cs="Tahoma"/>
          <w:sz w:val="24"/>
          <w:szCs w:val="24"/>
        </w:rPr>
        <w:t xml:space="preserve">Les </w:t>
      </w:r>
      <w:r w:rsidR="00016C57" w:rsidRPr="00016C57">
        <w:rPr>
          <w:rFonts w:ascii="Tahoma" w:hAnsi="Tahoma" w:cs="Tahoma"/>
          <w:sz w:val="24"/>
          <w:szCs w:val="24"/>
        </w:rPr>
        <w:t xml:space="preserve">contrôles nécessaires </w:t>
      </w:r>
      <w:r>
        <w:rPr>
          <w:rFonts w:ascii="Tahoma" w:hAnsi="Tahoma" w:cs="Tahoma"/>
          <w:sz w:val="24"/>
          <w:szCs w:val="24"/>
        </w:rPr>
        <w:t xml:space="preserve">sont effectués dans le SIGFIP </w:t>
      </w:r>
      <w:r w:rsidR="00016C57" w:rsidRPr="00016C57">
        <w:rPr>
          <w:rFonts w:ascii="Tahoma" w:hAnsi="Tahoma" w:cs="Tahoma"/>
          <w:sz w:val="24"/>
          <w:szCs w:val="24"/>
        </w:rPr>
        <w:t xml:space="preserve">et au même moment, </w:t>
      </w:r>
      <w:r>
        <w:rPr>
          <w:rFonts w:ascii="Tahoma" w:hAnsi="Tahoma" w:cs="Tahoma"/>
          <w:sz w:val="24"/>
          <w:szCs w:val="24"/>
        </w:rPr>
        <w:t>les acteurs de la chaine de dépenses</w:t>
      </w:r>
      <w:r w:rsidR="00016C57" w:rsidRPr="00016C57">
        <w:rPr>
          <w:rFonts w:ascii="Tahoma" w:hAnsi="Tahoma" w:cs="Tahoma"/>
          <w:sz w:val="24"/>
          <w:szCs w:val="24"/>
        </w:rPr>
        <w:t xml:space="preserve"> effectuent un contrôle des données afin de relever les anomalies éventuelles et transmettent leur demande d’habilitation pour accéder au SIGFIP.</w:t>
      </w:r>
    </w:p>
    <w:p w:rsidR="00016C57" w:rsidRPr="00016C57" w:rsidRDefault="00016C57" w:rsidP="00016C57">
      <w:pPr>
        <w:spacing w:after="0" w:line="360" w:lineRule="auto"/>
        <w:ind w:firstLine="708"/>
        <w:jc w:val="both"/>
        <w:rPr>
          <w:rFonts w:ascii="Tahoma" w:hAnsi="Tahoma" w:cs="Tahoma"/>
          <w:sz w:val="24"/>
          <w:szCs w:val="24"/>
        </w:rPr>
      </w:pPr>
    </w:p>
    <w:p w:rsidR="00016C57" w:rsidRPr="00E3715D" w:rsidRDefault="00016C57" w:rsidP="00E3715D">
      <w:pPr>
        <w:pStyle w:val="Paragraphedeliste"/>
        <w:numPr>
          <w:ilvl w:val="0"/>
          <w:numId w:val="19"/>
        </w:numPr>
        <w:spacing w:after="0" w:line="360" w:lineRule="auto"/>
        <w:jc w:val="both"/>
        <w:rPr>
          <w:rFonts w:ascii="Tahoma" w:hAnsi="Tahoma" w:cs="Tahoma"/>
          <w:b/>
          <w:sz w:val="24"/>
          <w:szCs w:val="24"/>
        </w:rPr>
      </w:pPr>
      <w:r w:rsidRPr="00E3715D">
        <w:rPr>
          <w:rFonts w:ascii="Tahoma" w:hAnsi="Tahoma" w:cs="Tahoma"/>
          <w:b/>
          <w:sz w:val="24"/>
          <w:szCs w:val="24"/>
        </w:rPr>
        <w:t>Exécution des reprises en engagement</w:t>
      </w:r>
    </w:p>
    <w:p w:rsidR="00016C57" w:rsidRPr="00016C57" w:rsidRDefault="00016C57" w:rsidP="003926EA">
      <w:pPr>
        <w:spacing w:after="0" w:line="360" w:lineRule="auto"/>
        <w:jc w:val="both"/>
        <w:rPr>
          <w:rFonts w:ascii="Tahoma" w:hAnsi="Tahoma" w:cs="Tahoma"/>
          <w:sz w:val="24"/>
          <w:szCs w:val="24"/>
        </w:rPr>
      </w:pPr>
      <w:r w:rsidRPr="00016C57">
        <w:rPr>
          <w:rFonts w:ascii="Tahoma" w:hAnsi="Tahoma" w:cs="Tahoma"/>
          <w:sz w:val="24"/>
          <w:szCs w:val="24"/>
        </w:rPr>
        <w:t>Les reprises en engagement concernent les dépenses engagées et non ordonnancées au cours de la gestion écoulée. L</w:t>
      </w:r>
      <w:r w:rsidR="00E3715D">
        <w:rPr>
          <w:rFonts w:ascii="Tahoma" w:hAnsi="Tahoma" w:cs="Tahoma"/>
          <w:sz w:val="24"/>
          <w:szCs w:val="24"/>
        </w:rPr>
        <w:t xml:space="preserve">es services compétents du ministère sectoriel </w:t>
      </w:r>
      <w:r w:rsidRPr="00016C57">
        <w:rPr>
          <w:rFonts w:ascii="Tahoma" w:hAnsi="Tahoma" w:cs="Tahoma"/>
          <w:sz w:val="24"/>
          <w:szCs w:val="24"/>
        </w:rPr>
        <w:t>transmet</w:t>
      </w:r>
      <w:r w:rsidR="00E3715D">
        <w:rPr>
          <w:rFonts w:ascii="Tahoma" w:hAnsi="Tahoma" w:cs="Tahoma"/>
          <w:sz w:val="24"/>
          <w:szCs w:val="24"/>
        </w:rPr>
        <w:t>tent</w:t>
      </w:r>
      <w:r w:rsidRPr="00016C57">
        <w:rPr>
          <w:rFonts w:ascii="Tahoma" w:hAnsi="Tahoma" w:cs="Tahoma"/>
          <w:sz w:val="24"/>
          <w:szCs w:val="24"/>
        </w:rPr>
        <w:t xml:space="preserve"> </w:t>
      </w:r>
      <w:r w:rsidR="00905D20" w:rsidRPr="003926EA">
        <w:rPr>
          <w:rFonts w:ascii="Tahoma" w:hAnsi="Tahoma" w:cs="Tahoma"/>
          <w:sz w:val="24"/>
          <w:szCs w:val="24"/>
        </w:rPr>
        <w:t>à la DGB</w:t>
      </w:r>
      <w:r w:rsidRPr="003926EA">
        <w:rPr>
          <w:rFonts w:ascii="Tahoma" w:hAnsi="Tahoma" w:cs="Tahoma"/>
          <w:sz w:val="24"/>
          <w:szCs w:val="24"/>
        </w:rPr>
        <w:t xml:space="preserve"> le dossier de réengagement de la dépense. </w:t>
      </w:r>
      <w:r w:rsidR="00340E7E" w:rsidRPr="003926EA">
        <w:rPr>
          <w:rFonts w:ascii="Tahoma" w:hAnsi="Tahoma" w:cs="Tahoma"/>
          <w:sz w:val="24"/>
          <w:szCs w:val="24"/>
        </w:rPr>
        <w:t>Les vérifications et validations nécessaires sont effectuées par la DPB, l’</w:t>
      </w:r>
      <w:r w:rsidR="003926EA" w:rsidRPr="003926EA">
        <w:rPr>
          <w:rFonts w:ascii="Tahoma" w:hAnsi="Tahoma" w:cs="Tahoma"/>
          <w:sz w:val="24"/>
          <w:szCs w:val="24"/>
        </w:rPr>
        <w:t xml:space="preserve">OD et le CB. </w:t>
      </w:r>
    </w:p>
    <w:p w:rsidR="00016C57" w:rsidRPr="00016C57" w:rsidRDefault="00016C57" w:rsidP="00016C57">
      <w:pPr>
        <w:spacing w:after="0" w:line="360" w:lineRule="auto"/>
        <w:ind w:firstLine="708"/>
        <w:jc w:val="both"/>
        <w:rPr>
          <w:rFonts w:ascii="Tahoma" w:hAnsi="Tahoma" w:cs="Tahoma"/>
          <w:sz w:val="24"/>
          <w:szCs w:val="24"/>
        </w:rPr>
      </w:pPr>
    </w:p>
    <w:p w:rsidR="00016C57" w:rsidRDefault="00016C57" w:rsidP="00E3715D">
      <w:pPr>
        <w:pStyle w:val="Paragraphedeliste"/>
        <w:numPr>
          <w:ilvl w:val="0"/>
          <w:numId w:val="19"/>
        </w:numPr>
        <w:spacing w:after="0" w:line="360" w:lineRule="auto"/>
        <w:jc w:val="both"/>
        <w:rPr>
          <w:rFonts w:ascii="Tahoma" w:hAnsi="Tahoma" w:cs="Tahoma"/>
          <w:b/>
          <w:sz w:val="24"/>
          <w:szCs w:val="24"/>
        </w:rPr>
      </w:pPr>
      <w:r w:rsidRPr="00E3715D">
        <w:rPr>
          <w:rFonts w:ascii="Tahoma" w:hAnsi="Tahoma" w:cs="Tahoma"/>
          <w:b/>
          <w:sz w:val="24"/>
          <w:szCs w:val="24"/>
        </w:rPr>
        <w:t xml:space="preserve">Notification des crédits </w:t>
      </w:r>
    </w:p>
    <w:p w:rsidR="003926EA" w:rsidRPr="00E3715D" w:rsidRDefault="003926EA" w:rsidP="003926EA">
      <w:pPr>
        <w:pStyle w:val="Paragraphedeliste"/>
        <w:spacing w:after="0" w:line="360" w:lineRule="auto"/>
        <w:jc w:val="both"/>
        <w:rPr>
          <w:rFonts w:ascii="Tahoma" w:hAnsi="Tahoma" w:cs="Tahoma"/>
          <w:b/>
          <w:sz w:val="24"/>
          <w:szCs w:val="24"/>
        </w:rPr>
      </w:pPr>
    </w:p>
    <w:p w:rsidR="00016C57" w:rsidRPr="00016C57" w:rsidRDefault="00016C57" w:rsidP="00E3715D">
      <w:pPr>
        <w:spacing w:after="0" w:line="360" w:lineRule="auto"/>
        <w:jc w:val="both"/>
        <w:rPr>
          <w:rFonts w:ascii="Tahoma" w:hAnsi="Tahoma" w:cs="Tahoma"/>
          <w:color w:val="FF0000"/>
          <w:sz w:val="24"/>
          <w:szCs w:val="24"/>
        </w:rPr>
      </w:pPr>
      <w:r w:rsidRPr="00016C57">
        <w:rPr>
          <w:rFonts w:ascii="Tahoma" w:hAnsi="Tahoma" w:cs="Tahoma"/>
          <w:sz w:val="24"/>
          <w:szCs w:val="24"/>
        </w:rPr>
        <w:t xml:space="preserve">Le MEFP à travers la DGB élabore la circulaire de « notification des crédits » aux Ministres et aux Présidents d’Institutions. </w:t>
      </w:r>
      <w:r w:rsidR="00E3715D">
        <w:rPr>
          <w:rFonts w:ascii="Tahoma" w:hAnsi="Tahoma" w:cs="Tahoma"/>
          <w:sz w:val="24"/>
          <w:szCs w:val="24"/>
        </w:rPr>
        <w:t>Elle est</w:t>
      </w:r>
      <w:r w:rsidRPr="00016C57">
        <w:rPr>
          <w:rFonts w:ascii="Tahoma" w:hAnsi="Tahoma" w:cs="Tahoma"/>
          <w:sz w:val="24"/>
          <w:szCs w:val="24"/>
        </w:rPr>
        <w:t xml:space="preserve"> accompagnée des extractions de lignes budgétaires du SIGFIP </w:t>
      </w:r>
      <w:r w:rsidR="00E3715D">
        <w:rPr>
          <w:rFonts w:ascii="Tahoma" w:hAnsi="Tahoma" w:cs="Tahoma"/>
          <w:sz w:val="24"/>
          <w:szCs w:val="24"/>
        </w:rPr>
        <w:t xml:space="preserve">qui </w:t>
      </w:r>
      <w:r w:rsidRPr="00016C57">
        <w:rPr>
          <w:rFonts w:ascii="Tahoma" w:hAnsi="Tahoma" w:cs="Tahoma"/>
          <w:sz w:val="24"/>
          <w:szCs w:val="24"/>
        </w:rPr>
        <w:t xml:space="preserve">est également transmise aux </w:t>
      </w:r>
      <w:r w:rsidR="00E3715D">
        <w:rPr>
          <w:rFonts w:ascii="Tahoma" w:hAnsi="Tahoma" w:cs="Tahoma"/>
          <w:sz w:val="24"/>
          <w:szCs w:val="24"/>
        </w:rPr>
        <w:t>ministères sectoriels</w:t>
      </w:r>
      <w:r w:rsidRPr="00016C57">
        <w:rPr>
          <w:rFonts w:ascii="Tahoma" w:hAnsi="Tahoma" w:cs="Tahoma"/>
          <w:sz w:val="24"/>
          <w:szCs w:val="24"/>
        </w:rPr>
        <w:t xml:space="preserve">, aux ordonnateurs, aux contrôleurs budgétaires (CB) et aux comptables publics. </w:t>
      </w:r>
    </w:p>
    <w:p w:rsidR="00016C57" w:rsidRPr="00016C57" w:rsidRDefault="00016C57" w:rsidP="00016C57">
      <w:pPr>
        <w:spacing w:after="0" w:line="360" w:lineRule="auto"/>
        <w:ind w:firstLine="708"/>
        <w:jc w:val="both"/>
        <w:rPr>
          <w:rFonts w:ascii="Tahoma" w:hAnsi="Tahoma" w:cs="Tahoma"/>
          <w:sz w:val="24"/>
          <w:szCs w:val="24"/>
        </w:rPr>
      </w:pPr>
    </w:p>
    <w:p w:rsidR="00016C57" w:rsidRPr="00E3715D" w:rsidRDefault="00016C57" w:rsidP="00E3715D">
      <w:pPr>
        <w:pStyle w:val="Paragraphedeliste"/>
        <w:numPr>
          <w:ilvl w:val="0"/>
          <w:numId w:val="19"/>
        </w:numPr>
        <w:spacing w:after="0" w:line="360" w:lineRule="auto"/>
        <w:jc w:val="both"/>
        <w:rPr>
          <w:rFonts w:ascii="Tahoma" w:hAnsi="Tahoma" w:cs="Tahoma"/>
          <w:b/>
          <w:sz w:val="24"/>
          <w:szCs w:val="24"/>
        </w:rPr>
      </w:pPr>
      <w:r w:rsidRPr="00E3715D">
        <w:rPr>
          <w:rFonts w:ascii="Tahoma" w:hAnsi="Tahoma" w:cs="Tahoma"/>
          <w:b/>
          <w:sz w:val="24"/>
          <w:szCs w:val="24"/>
        </w:rPr>
        <w:t>Actes préalables à l’exécution de la dépense</w:t>
      </w:r>
    </w:p>
    <w:p w:rsidR="00EF4C64" w:rsidRDefault="00EF4C64" w:rsidP="00016C57">
      <w:pPr>
        <w:spacing w:after="0" w:line="360" w:lineRule="auto"/>
        <w:jc w:val="both"/>
        <w:rPr>
          <w:rFonts w:ascii="Tahoma" w:hAnsi="Tahoma" w:cs="Tahoma"/>
          <w:sz w:val="24"/>
          <w:szCs w:val="24"/>
        </w:rPr>
      </w:pPr>
    </w:p>
    <w:p w:rsidR="00016C57" w:rsidRPr="00016C57" w:rsidRDefault="00016C57" w:rsidP="00016C57">
      <w:pPr>
        <w:spacing w:after="0" w:line="360" w:lineRule="auto"/>
        <w:jc w:val="both"/>
        <w:rPr>
          <w:rFonts w:ascii="Tahoma" w:hAnsi="Tahoma" w:cs="Tahoma"/>
          <w:sz w:val="24"/>
          <w:szCs w:val="24"/>
        </w:rPr>
      </w:pPr>
      <w:r w:rsidRPr="00016C57">
        <w:rPr>
          <w:rFonts w:ascii="Tahoma" w:hAnsi="Tahoma" w:cs="Tahoma"/>
          <w:sz w:val="24"/>
          <w:szCs w:val="24"/>
        </w:rPr>
        <w:t xml:space="preserve">Il s’agit : </w:t>
      </w:r>
    </w:p>
    <w:p w:rsidR="00016C57" w:rsidRPr="00016C57" w:rsidRDefault="00016C57" w:rsidP="00EF4C64">
      <w:pPr>
        <w:pStyle w:val="Paragraphedeliste"/>
        <w:numPr>
          <w:ilvl w:val="0"/>
          <w:numId w:val="20"/>
        </w:numPr>
        <w:spacing w:after="0" w:line="360" w:lineRule="auto"/>
        <w:contextualSpacing w:val="0"/>
        <w:jc w:val="both"/>
        <w:rPr>
          <w:rFonts w:ascii="Tahoma" w:hAnsi="Tahoma" w:cs="Tahoma"/>
          <w:sz w:val="24"/>
          <w:szCs w:val="24"/>
        </w:rPr>
      </w:pPr>
      <w:r w:rsidRPr="00016C57">
        <w:rPr>
          <w:rFonts w:ascii="Tahoma" w:hAnsi="Tahoma" w:cs="Tahoma"/>
          <w:sz w:val="24"/>
          <w:szCs w:val="24"/>
        </w:rPr>
        <w:t>de la pris</w:t>
      </w:r>
      <w:r w:rsidR="00EF4C64">
        <w:rPr>
          <w:rFonts w:ascii="Tahoma" w:hAnsi="Tahoma" w:cs="Tahoma"/>
          <w:sz w:val="24"/>
          <w:szCs w:val="24"/>
        </w:rPr>
        <w:t>e de décrets de nomination des R</w:t>
      </w:r>
      <w:r w:rsidRPr="00016C57">
        <w:rPr>
          <w:rFonts w:ascii="Tahoma" w:hAnsi="Tahoma" w:cs="Tahoma"/>
          <w:sz w:val="24"/>
          <w:szCs w:val="24"/>
        </w:rPr>
        <w:t>e</w:t>
      </w:r>
      <w:r w:rsidR="00EF4C64">
        <w:rPr>
          <w:rFonts w:ascii="Tahoma" w:hAnsi="Tahoma" w:cs="Tahoma"/>
          <w:sz w:val="24"/>
          <w:szCs w:val="24"/>
        </w:rPr>
        <w:t>sponsables de programme et des O</w:t>
      </w:r>
      <w:r w:rsidRPr="00016C57">
        <w:rPr>
          <w:rFonts w:ascii="Tahoma" w:hAnsi="Tahoma" w:cs="Tahoma"/>
          <w:sz w:val="24"/>
          <w:szCs w:val="24"/>
        </w:rPr>
        <w:t xml:space="preserve">rdonnateurs délégués, d’arrêtés de nomination </w:t>
      </w:r>
      <w:r w:rsidRPr="00D666D9">
        <w:rPr>
          <w:rFonts w:ascii="Tahoma" w:hAnsi="Tahoma" w:cs="Tahoma"/>
          <w:sz w:val="24"/>
          <w:szCs w:val="24"/>
        </w:rPr>
        <w:t>des administrateurs des crédits (ADC) titulaires et suppléants,  de décisions de nomination des comptables des matières, de régisseurs, de billeteurs, des membres des</w:t>
      </w:r>
      <w:bookmarkStart w:id="0" w:name="_GoBack"/>
      <w:bookmarkEnd w:id="0"/>
      <w:r w:rsidRPr="00016C57">
        <w:rPr>
          <w:rFonts w:ascii="Tahoma" w:hAnsi="Tahoma" w:cs="Tahoma"/>
          <w:sz w:val="24"/>
          <w:szCs w:val="24"/>
        </w:rPr>
        <w:t xml:space="preserve"> commissions de réception, des membres des commissions des marchés titulaires et suppléants, </w:t>
      </w:r>
    </w:p>
    <w:p w:rsidR="00016C57" w:rsidRPr="00016C57" w:rsidRDefault="00016C57" w:rsidP="00EF4C64">
      <w:pPr>
        <w:pStyle w:val="Paragraphedeliste"/>
        <w:numPr>
          <w:ilvl w:val="0"/>
          <w:numId w:val="20"/>
        </w:numPr>
        <w:spacing w:after="0" w:line="360" w:lineRule="auto"/>
        <w:contextualSpacing w:val="0"/>
        <w:jc w:val="both"/>
        <w:rPr>
          <w:rFonts w:ascii="Tahoma" w:hAnsi="Tahoma" w:cs="Tahoma"/>
          <w:sz w:val="24"/>
          <w:szCs w:val="24"/>
        </w:rPr>
      </w:pPr>
      <w:r w:rsidRPr="00016C57">
        <w:rPr>
          <w:rFonts w:ascii="Tahoma" w:hAnsi="Tahoma" w:cs="Tahoma"/>
          <w:sz w:val="24"/>
          <w:szCs w:val="24"/>
        </w:rPr>
        <w:lastRenderedPageBreak/>
        <w:t xml:space="preserve">de l’accréditation des </w:t>
      </w:r>
      <w:r w:rsidRPr="003D11C6">
        <w:rPr>
          <w:rFonts w:ascii="Tahoma" w:hAnsi="Tahoma" w:cs="Tahoma"/>
          <w:sz w:val="24"/>
          <w:szCs w:val="24"/>
        </w:rPr>
        <w:t>ADC</w:t>
      </w:r>
      <w:r w:rsidRPr="00016C57">
        <w:rPr>
          <w:rFonts w:ascii="Tahoma" w:hAnsi="Tahoma" w:cs="Tahoma"/>
          <w:sz w:val="24"/>
          <w:szCs w:val="24"/>
        </w:rPr>
        <w:t xml:space="preserve"> auprès des </w:t>
      </w:r>
      <w:r w:rsidR="00EF4C64">
        <w:rPr>
          <w:rFonts w:ascii="Tahoma" w:hAnsi="Tahoma" w:cs="Tahoma"/>
          <w:sz w:val="24"/>
          <w:szCs w:val="24"/>
        </w:rPr>
        <w:t>O</w:t>
      </w:r>
      <w:r w:rsidRPr="00016C57">
        <w:rPr>
          <w:rFonts w:ascii="Tahoma" w:hAnsi="Tahoma" w:cs="Tahoma"/>
          <w:sz w:val="24"/>
          <w:szCs w:val="24"/>
        </w:rPr>
        <w:t xml:space="preserve">rdonnateurs délégués ou secondaires, des CB et des comptables publics par la transmission de leurs arrêtés de nomination et de leurs spécimens de signature, </w:t>
      </w:r>
    </w:p>
    <w:p w:rsidR="00016C57" w:rsidRPr="00016C57" w:rsidRDefault="00016C57" w:rsidP="00EF4C64">
      <w:pPr>
        <w:pStyle w:val="Paragraphedeliste"/>
        <w:numPr>
          <w:ilvl w:val="0"/>
          <w:numId w:val="20"/>
        </w:numPr>
        <w:spacing w:after="0" w:line="360" w:lineRule="auto"/>
        <w:contextualSpacing w:val="0"/>
        <w:jc w:val="both"/>
        <w:rPr>
          <w:rFonts w:ascii="Tahoma" w:hAnsi="Tahoma" w:cs="Tahoma"/>
          <w:sz w:val="24"/>
          <w:szCs w:val="24"/>
        </w:rPr>
      </w:pPr>
      <w:r w:rsidRPr="00016C57">
        <w:rPr>
          <w:rFonts w:ascii="Tahoma" w:hAnsi="Tahoma" w:cs="Tahoma"/>
          <w:sz w:val="24"/>
          <w:szCs w:val="24"/>
        </w:rPr>
        <w:t xml:space="preserve">de la signature par les membres de la Commission des marchés (CM) et de la cellule de passation des marchés (CPM) de la déclaration portant approbation de la charte de transparence et d’éthique, </w:t>
      </w:r>
    </w:p>
    <w:p w:rsidR="00016C57" w:rsidRPr="00016C57" w:rsidRDefault="00016C57" w:rsidP="00EF4C64">
      <w:pPr>
        <w:pStyle w:val="Paragraphedeliste"/>
        <w:numPr>
          <w:ilvl w:val="0"/>
          <w:numId w:val="20"/>
        </w:numPr>
        <w:spacing w:after="0" w:line="360" w:lineRule="auto"/>
        <w:contextualSpacing w:val="0"/>
        <w:jc w:val="both"/>
        <w:rPr>
          <w:rFonts w:ascii="Tahoma" w:hAnsi="Tahoma" w:cs="Tahoma"/>
          <w:sz w:val="24"/>
          <w:szCs w:val="24"/>
        </w:rPr>
      </w:pPr>
      <w:r w:rsidRPr="00016C57">
        <w:rPr>
          <w:rFonts w:ascii="Tahoma" w:hAnsi="Tahoma" w:cs="Tahoma"/>
          <w:sz w:val="24"/>
          <w:szCs w:val="24"/>
        </w:rPr>
        <w:t xml:space="preserve">de l’élaboration des plans de passation des marchés (PPM), </w:t>
      </w:r>
    </w:p>
    <w:p w:rsidR="00016C57" w:rsidRPr="00016C57" w:rsidRDefault="00016C57" w:rsidP="00016C57">
      <w:pPr>
        <w:pStyle w:val="Paragraphedeliste"/>
        <w:spacing w:after="0" w:line="360" w:lineRule="auto"/>
        <w:ind w:left="0"/>
        <w:contextualSpacing w:val="0"/>
        <w:jc w:val="both"/>
        <w:rPr>
          <w:rFonts w:ascii="Tahoma" w:hAnsi="Tahoma" w:cs="Tahoma"/>
          <w:sz w:val="24"/>
          <w:szCs w:val="24"/>
        </w:rPr>
      </w:pPr>
    </w:p>
    <w:p w:rsidR="00016C57" w:rsidRPr="00016C57" w:rsidRDefault="00016C57" w:rsidP="00CA1E22">
      <w:pPr>
        <w:spacing w:after="0" w:line="360" w:lineRule="auto"/>
        <w:jc w:val="both"/>
        <w:rPr>
          <w:rFonts w:ascii="Tahoma" w:hAnsi="Tahoma" w:cs="Tahoma"/>
          <w:sz w:val="24"/>
          <w:szCs w:val="24"/>
        </w:rPr>
      </w:pPr>
      <w:r w:rsidRPr="00016C57">
        <w:rPr>
          <w:rFonts w:ascii="Tahoma" w:hAnsi="Tahoma" w:cs="Tahoma"/>
          <w:sz w:val="24"/>
          <w:szCs w:val="24"/>
        </w:rPr>
        <w:t>Par ailleurs, les Ministères ou Institutions devront p</w:t>
      </w:r>
      <w:r w:rsidR="00EF4C64">
        <w:rPr>
          <w:rFonts w:ascii="Tahoma" w:hAnsi="Tahoma" w:cs="Tahoma"/>
          <w:sz w:val="24"/>
          <w:szCs w:val="24"/>
        </w:rPr>
        <w:t>rendre les dispositions afin</w:t>
      </w:r>
      <w:r w:rsidRPr="00016C57">
        <w:rPr>
          <w:rFonts w:ascii="Tahoma" w:hAnsi="Tahoma" w:cs="Tahoma"/>
          <w:sz w:val="24"/>
          <w:szCs w:val="24"/>
        </w:rPr>
        <w:t xml:space="preserve"> d’obtenir l’autorisation d’accès au système d’information. Le Ministère devra également disposer d’un plan d’engagement trimestriel et d’un tableau de bord de suivi de l’exécution budgétaire. </w:t>
      </w:r>
    </w:p>
    <w:p w:rsidR="00016C57" w:rsidRPr="00016C57" w:rsidRDefault="00016C57" w:rsidP="00016C57">
      <w:pPr>
        <w:spacing w:after="0" w:line="360" w:lineRule="auto"/>
        <w:ind w:firstLine="708"/>
        <w:jc w:val="both"/>
        <w:rPr>
          <w:rFonts w:ascii="Tahoma" w:hAnsi="Tahoma" w:cs="Tahoma"/>
          <w:sz w:val="24"/>
          <w:szCs w:val="24"/>
        </w:rPr>
      </w:pPr>
    </w:p>
    <w:p w:rsidR="00016C57" w:rsidRPr="00016C57" w:rsidRDefault="00016C57" w:rsidP="00CA1E22">
      <w:pPr>
        <w:spacing w:after="0" w:line="360" w:lineRule="auto"/>
        <w:jc w:val="both"/>
        <w:rPr>
          <w:rFonts w:ascii="Tahoma" w:hAnsi="Tahoma" w:cs="Tahoma"/>
          <w:sz w:val="24"/>
          <w:szCs w:val="24"/>
        </w:rPr>
      </w:pPr>
      <w:r w:rsidRPr="00016C57">
        <w:rPr>
          <w:rFonts w:ascii="Tahoma" w:hAnsi="Tahoma" w:cs="Tahoma"/>
          <w:sz w:val="24"/>
          <w:szCs w:val="24"/>
        </w:rPr>
        <w:t xml:space="preserve">Dans le cadre du budget programme, les services administratifs des ministères sectoriels et des institutions : </w:t>
      </w:r>
    </w:p>
    <w:p w:rsidR="00016C57" w:rsidRPr="00016C57" w:rsidRDefault="00EF4C64" w:rsidP="00EF4C64">
      <w:pPr>
        <w:pStyle w:val="ADIETche"/>
        <w:numPr>
          <w:ilvl w:val="0"/>
          <w:numId w:val="20"/>
        </w:numPr>
        <w:spacing w:line="360" w:lineRule="auto"/>
        <w:jc w:val="both"/>
        <w:rPr>
          <w:rFonts w:ascii="Tahoma" w:hAnsi="Tahoma" w:cs="Tahoma"/>
          <w:color w:val="auto"/>
          <w:sz w:val="24"/>
          <w:szCs w:val="24"/>
        </w:rPr>
      </w:pPr>
      <w:r>
        <w:rPr>
          <w:rFonts w:ascii="Tahoma" w:hAnsi="Tahoma" w:cs="Tahoma"/>
          <w:color w:val="auto"/>
          <w:sz w:val="24"/>
          <w:szCs w:val="24"/>
        </w:rPr>
        <w:t>p</w:t>
      </w:r>
      <w:r w:rsidR="00016C57" w:rsidRPr="00016C57">
        <w:rPr>
          <w:rFonts w:ascii="Tahoma" w:hAnsi="Tahoma" w:cs="Tahoma"/>
          <w:color w:val="auto"/>
          <w:sz w:val="24"/>
          <w:szCs w:val="24"/>
        </w:rPr>
        <w:t>répare</w:t>
      </w:r>
      <w:r>
        <w:rPr>
          <w:rFonts w:ascii="Tahoma" w:hAnsi="Tahoma" w:cs="Tahoma"/>
          <w:color w:val="auto"/>
          <w:sz w:val="24"/>
          <w:szCs w:val="24"/>
        </w:rPr>
        <w:t>nt les actes de nomination des R</w:t>
      </w:r>
      <w:r w:rsidR="00016C57" w:rsidRPr="00016C57">
        <w:rPr>
          <w:rFonts w:ascii="Tahoma" w:hAnsi="Tahoma" w:cs="Tahoma"/>
          <w:color w:val="auto"/>
          <w:sz w:val="24"/>
          <w:szCs w:val="24"/>
        </w:rPr>
        <w:t>esponsables d</w:t>
      </w:r>
      <w:r>
        <w:rPr>
          <w:rFonts w:ascii="Tahoma" w:hAnsi="Tahoma" w:cs="Tahoma"/>
          <w:color w:val="auto"/>
          <w:sz w:val="24"/>
          <w:szCs w:val="24"/>
        </w:rPr>
        <w:t>e programme et les O</w:t>
      </w:r>
      <w:r w:rsidR="00016C57" w:rsidRPr="00016C57">
        <w:rPr>
          <w:rFonts w:ascii="Tahoma" w:hAnsi="Tahoma" w:cs="Tahoma"/>
          <w:color w:val="auto"/>
          <w:sz w:val="24"/>
          <w:szCs w:val="24"/>
        </w:rPr>
        <w:t>rdonnateurs délégués en budget programme ;</w:t>
      </w:r>
    </w:p>
    <w:p w:rsidR="00016C57" w:rsidRPr="00016C57" w:rsidRDefault="00EF4C64" w:rsidP="00EF4C64">
      <w:pPr>
        <w:pStyle w:val="ADIETche"/>
        <w:numPr>
          <w:ilvl w:val="0"/>
          <w:numId w:val="20"/>
        </w:numPr>
        <w:spacing w:line="360" w:lineRule="auto"/>
        <w:jc w:val="both"/>
        <w:rPr>
          <w:rFonts w:ascii="Tahoma" w:hAnsi="Tahoma" w:cs="Tahoma"/>
          <w:color w:val="auto"/>
          <w:sz w:val="24"/>
          <w:szCs w:val="24"/>
        </w:rPr>
      </w:pPr>
      <w:r>
        <w:rPr>
          <w:rFonts w:ascii="Tahoma" w:hAnsi="Tahoma" w:cs="Tahoma"/>
          <w:color w:val="auto"/>
          <w:sz w:val="24"/>
          <w:szCs w:val="24"/>
        </w:rPr>
        <w:t>p</w:t>
      </w:r>
      <w:r w:rsidR="00016C57" w:rsidRPr="00016C57">
        <w:rPr>
          <w:rFonts w:ascii="Tahoma" w:hAnsi="Tahoma" w:cs="Tahoma"/>
          <w:color w:val="auto"/>
          <w:sz w:val="24"/>
          <w:szCs w:val="24"/>
        </w:rPr>
        <w:t xml:space="preserve">réparent les actes de nomination des </w:t>
      </w:r>
      <w:r w:rsidR="00016C57" w:rsidRPr="003D11C6">
        <w:rPr>
          <w:rFonts w:ascii="Tahoma" w:hAnsi="Tahoma" w:cs="Tahoma"/>
          <w:color w:val="auto"/>
          <w:sz w:val="24"/>
          <w:szCs w:val="24"/>
        </w:rPr>
        <w:t>administrateurs des crédits délégués   au niveau de l’administration centrale et des administrateurs des crédits secondaires (CRF, Préfets) au niveau de l’administration déconcentré</w:t>
      </w:r>
      <w:r w:rsidRPr="003D11C6">
        <w:rPr>
          <w:rFonts w:ascii="Tahoma" w:hAnsi="Tahoma" w:cs="Tahoma"/>
          <w:color w:val="auto"/>
          <w:sz w:val="24"/>
          <w:szCs w:val="24"/>
        </w:rPr>
        <w:t>e</w:t>
      </w:r>
      <w:r w:rsidR="00016C57" w:rsidRPr="003D11C6">
        <w:rPr>
          <w:rFonts w:ascii="Tahoma" w:hAnsi="Tahoma" w:cs="Tahoma"/>
          <w:color w:val="auto"/>
          <w:sz w:val="24"/>
          <w:szCs w:val="24"/>
        </w:rPr>
        <w:t xml:space="preserve"> et leurs</w:t>
      </w:r>
      <w:r w:rsidR="00016C57" w:rsidRPr="00016C57">
        <w:rPr>
          <w:rFonts w:ascii="Tahoma" w:hAnsi="Tahoma" w:cs="Tahoma"/>
          <w:color w:val="auto"/>
          <w:sz w:val="24"/>
          <w:szCs w:val="24"/>
        </w:rPr>
        <w:t xml:space="preserve"> suppléants en budget </w:t>
      </w:r>
      <w:proofErr w:type="gramStart"/>
      <w:r w:rsidR="00016C57" w:rsidRPr="00016C57">
        <w:rPr>
          <w:rFonts w:ascii="Tahoma" w:hAnsi="Tahoma" w:cs="Tahoma"/>
          <w:color w:val="auto"/>
          <w:sz w:val="24"/>
          <w:szCs w:val="24"/>
        </w:rPr>
        <w:t>ligne ,</w:t>
      </w:r>
      <w:proofErr w:type="gramEnd"/>
      <w:r w:rsidR="00016C57" w:rsidRPr="00016C57">
        <w:rPr>
          <w:rFonts w:ascii="Tahoma" w:hAnsi="Tahoma" w:cs="Tahoma"/>
          <w:color w:val="auto"/>
          <w:sz w:val="24"/>
          <w:szCs w:val="24"/>
        </w:rPr>
        <w:t xml:space="preserve"> des comptables des matières, des billeteurs, des Membres des commissions des marchés et de réception, et leurs suppléants;</w:t>
      </w:r>
    </w:p>
    <w:p w:rsidR="00016C57" w:rsidRPr="00016C57" w:rsidRDefault="00016C57" w:rsidP="00EF4C64">
      <w:pPr>
        <w:pStyle w:val="ADIETche"/>
        <w:numPr>
          <w:ilvl w:val="0"/>
          <w:numId w:val="20"/>
        </w:numPr>
        <w:spacing w:line="360" w:lineRule="auto"/>
        <w:jc w:val="both"/>
        <w:rPr>
          <w:rFonts w:ascii="Tahoma" w:hAnsi="Tahoma" w:cs="Tahoma"/>
          <w:color w:val="auto"/>
          <w:sz w:val="24"/>
          <w:szCs w:val="24"/>
        </w:rPr>
      </w:pPr>
      <w:r w:rsidRPr="00016C57">
        <w:rPr>
          <w:rFonts w:ascii="Tahoma" w:hAnsi="Tahoma" w:cs="Tahoma"/>
          <w:color w:val="auto"/>
          <w:sz w:val="24"/>
          <w:szCs w:val="24"/>
        </w:rPr>
        <w:t>introduisent les actes dans le circuit des visas (CB, OD, CF) ;</w:t>
      </w:r>
    </w:p>
    <w:p w:rsidR="00016C57" w:rsidRPr="00016C57" w:rsidRDefault="00016C57" w:rsidP="00EF4C64">
      <w:pPr>
        <w:pStyle w:val="ADIETche"/>
        <w:numPr>
          <w:ilvl w:val="0"/>
          <w:numId w:val="20"/>
        </w:numPr>
        <w:spacing w:line="360" w:lineRule="auto"/>
        <w:jc w:val="both"/>
        <w:rPr>
          <w:rFonts w:ascii="Tahoma" w:hAnsi="Tahoma" w:cs="Tahoma"/>
          <w:color w:val="auto"/>
          <w:sz w:val="24"/>
          <w:szCs w:val="24"/>
        </w:rPr>
      </w:pPr>
      <w:r w:rsidRPr="00016C57">
        <w:rPr>
          <w:rFonts w:ascii="Tahoma" w:hAnsi="Tahoma" w:cs="Tahoma"/>
          <w:color w:val="auto"/>
          <w:sz w:val="24"/>
          <w:szCs w:val="24"/>
        </w:rPr>
        <w:t xml:space="preserve">soumettent les actes visés à la signature du Ministre sectoriel ou du </w:t>
      </w:r>
      <w:r w:rsidR="003D11C6">
        <w:rPr>
          <w:rFonts w:ascii="Tahoma" w:hAnsi="Tahoma" w:cs="Tahoma"/>
          <w:color w:val="auto"/>
          <w:sz w:val="24"/>
          <w:szCs w:val="24"/>
        </w:rPr>
        <w:t xml:space="preserve">Président d’Institution </w:t>
      </w:r>
      <w:r w:rsidRPr="00016C57">
        <w:rPr>
          <w:rFonts w:ascii="Tahoma" w:hAnsi="Tahoma" w:cs="Tahoma"/>
          <w:color w:val="auto"/>
          <w:sz w:val="24"/>
          <w:szCs w:val="24"/>
        </w:rPr>
        <w:t>;</w:t>
      </w:r>
    </w:p>
    <w:p w:rsidR="00016C57" w:rsidRPr="00016C57" w:rsidRDefault="00016C57" w:rsidP="00EF4C64">
      <w:pPr>
        <w:pStyle w:val="ADIETche"/>
        <w:numPr>
          <w:ilvl w:val="0"/>
          <w:numId w:val="20"/>
        </w:numPr>
        <w:spacing w:line="360" w:lineRule="auto"/>
        <w:jc w:val="both"/>
        <w:rPr>
          <w:rFonts w:ascii="Tahoma" w:hAnsi="Tahoma" w:cs="Tahoma"/>
          <w:sz w:val="24"/>
          <w:szCs w:val="24"/>
        </w:rPr>
      </w:pPr>
      <w:r w:rsidRPr="00016C57">
        <w:rPr>
          <w:rFonts w:ascii="Tahoma" w:hAnsi="Tahoma" w:cs="Tahoma"/>
          <w:color w:val="auto"/>
          <w:sz w:val="24"/>
          <w:szCs w:val="24"/>
        </w:rPr>
        <w:t>transmettent les actes signés au SGG pour numérotation</w:t>
      </w:r>
      <w:r w:rsidR="00EF4C64">
        <w:rPr>
          <w:rFonts w:ascii="Tahoma" w:hAnsi="Tahoma" w:cs="Tahoma"/>
          <w:color w:val="auto"/>
          <w:sz w:val="24"/>
          <w:szCs w:val="24"/>
        </w:rPr>
        <w:t>.</w:t>
      </w:r>
    </w:p>
    <w:p w:rsidR="00016C57" w:rsidRPr="00016C57" w:rsidRDefault="00016C57" w:rsidP="00016C57">
      <w:pPr>
        <w:pStyle w:val="ADIETche"/>
        <w:tabs>
          <w:tab w:val="clear" w:pos="2124"/>
        </w:tabs>
        <w:spacing w:line="360" w:lineRule="auto"/>
        <w:ind w:left="0" w:firstLine="0"/>
        <w:jc w:val="both"/>
        <w:rPr>
          <w:rFonts w:ascii="Tahoma" w:hAnsi="Tahoma" w:cs="Tahoma"/>
          <w:sz w:val="24"/>
          <w:szCs w:val="24"/>
        </w:rPr>
      </w:pPr>
    </w:p>
    <w:p w:rsidR="00016C57" w:rsidRPr="00016C57" w:rsidRDefault="00016C57" w:rsidP="00CA1E22">
      <w:pPr>
        <w:pStyle w:val="ADIETche"/>
        <w:tabs>
          <w:tab w:val="clear" w:pos="2124"/>
        </w:tabs>
        <w:spacing w:line="360" w:lineRule="auto"/>
        <w:ind w:left="0" w:firstLine="0"/>
        <w:jc w:val="both"/>
        <w:rPr>
          <w:rFonts w:ascii="Tahoma" w:hAnsi="Tahoma" w:cs="Tahoma"/>
          <w:color w:val="auto"/>
          <w:sz w:val="24"/>
          <w:szCs w:val="24"/>
        </w:rPr>
      </w:pPr>
      <w:r w:rsidRPr="00016C57">
        <w:rPr>
          <w:rFonts w:ascii="Tahoma" w:hAnsi="Tahoma" w:cs="Tahoma"/>
          <w:color w:val="auto"/>
          <w:sz w:val="24"/>
          <w:szCs w:val="24"/>
        </w:rPr>
        <w:t xml:space="preserve">A la réception des arrêtés de nomination, les </w:t>
      </w:r>
      <w:r w:rsidRPr="00D666D9">
        <w:rPr>
          <w:rFonts w:ascii="Tahoma" w:hAnsi="Tahoma" w:cs="Tahoma"/>
          <w:color w:val="auto"/>
          <w:sz w:val="24"/>
          <w:szCs w:val="24"/>
        </w:rPr>
        <w:t>Administrateurs de crédit</w:t>
      </w:r>
      <w:r w:rsidRPr="00016C57">
        <w:rPr>
          <w:rFonts w:ascii="Tahoma" w:hAnsi="Tahoma" w:cs="Tahoma"/>
          <w:color w:val="auto"/>
          <w:sz w:val="24"/>
          <w:szCs w:val="24"/>
        </w:rPr>
        <w:t xml:space="preserve"> et leurs suppléants :</w:t>
      </w:r>
    </w:p>
    <w:p w:rsidR="00016C57" w:rsidRPr="00016C57" w:rsidRDefault="00016C57" w:rsidP="00EF4C64">
      <w:pPr>
        <w:pStyle w:val="ADIETche"/>
        <w:numPr>
          <w:ilvl w:val="0"/>
          <w:numId w:val="20"/>
        </w:numPr>
        <w:spacing w:line="360" w:lineRule="auto"/>
        <w:jc w:val="both"/>
        <w:rPr>
          <w:rFonts w:ascii="Tahoma" w:hAnsi="Tahoma" w:cs="Tahoma"/>
          <w:color w:val="auto"/>
          <w:sz w:val="24"/>
          <w:szCs w:val="24"/>
        </w:rPr>
      </w:pPr>
      <w:r w:rsidRPr="00016C57">
        <w:rPr>
          <w:rFonts w:ascii="Tahoma" w:hAnsi="Tahoma" w:cs="Tahoma"/>
          <w:color w:val="auto"/>
          <w:sz w:val="24"/>
          <w:szCs w:val="24"/>
        </w:rPr>
        <w:t>apposent leur spécimen de signature sur un document ;</w:t>
      </w:r>
    </w:p>
    <w:p w:rsidR="00016C57" w:rsidRPr="00016C57" w:rsidRDefault="00016C57" w:rsidP="00EF4C64">
      <w:pPr>
        <w:pStyle w:val="ADIETche"/>
        <w:numPr>
          <w:ilvl w:val="0"/>
          <w:numId w:val="20"/>
        </w:numPr>
        <w:spacing w:line="360" w:lineRule="auto"/>
        <w:jc w:val="both"/>
        <w:rPr>
          <w:rFonts w:ascii="Tahoma" w:hAnsi="Tahoma" w:cs="Tahoma"/>
          <w:color w:val="auto"/>
          <w:sz w:val="24"/>
          <w:szCs w:val="24"/>
        </w:rPr>
      </w:pPr>
      <w:r w:rsidRPr="00016C57">
        <w:rPr>
          <w:rFonts w:ascii="Tahoma" w:hAnsi="Tahoma" w:cs="Tahoma"/>
          <w:color w:val="auto"/>
          <w:sz w:val="24"/>
          <w:szCs w:val="24"/>
        </w:rPr>
        <w:t>transmettent l’arrêté et le spécimen de signature au CB et à l’OD.</w:t>
      </w:r>
    </w:p>
    <w:p w:rsidR="00016C57" w:rsidRPr="00016C57" w:rsidRDefault="00016C57" w:rsidP="00016C57">
      <w:pPr>
        <w:spacing w:after="0" w:line="360" w:lineRule="auto"/>
        <w:ind w:firstLine="708"/>
        <w:jc w:val="both"/>
        <w:rPr>
          <w:rFonts w:ascii="Tahoma" w:hAnsi="Tahoma" w:cs="Tahoma"/>
          <w:color w:val="FF0000"/>
          <w:sz w:val="24"/>
          <w:szCs w:val="24"/>
        </w:rPr>
      </w:pPr>
    </w:p>
    <w:p w:rsidR="00016C57" w:rsidRPr="00CA1E22" w:rsidRDefault="00CA1E22" w:rsidP="00EF4C64">
      <w:pPr>
        <w:pStyle w:val="Paragraphedeliste"/>
        <w:numPr>
          <w:ilvl w:val="0"/>
          <w:numId w:val="19"/>
        </w:numPr>
        <w:spacing w:after="0" w:line="360" w:lineRule="auto"/>
        <w:jc w:val="both"/>
        <w:rPr>
          <w:rFonts w:ascii="Tahoma" w:hAnsi="Tahoma" w:cs="Tahoma"/>
          <w:b/>
          <w:sz w:val="24"/>
          <w:szCs w:val="24"/>
        </w:rPr>
      </w:pPr>
      <w:r>
        <w:rPr>
          <w:rFonts w:ascii="Tahoma" w:hAnsi="Tahoma" w:cs="Tahoma"/>
          <w:b/>
          <w:sz w:val="24"/>
          <w:szCs w:val="24"/>
        </w:rPr>
        <w:lastRenderedPageBreak/>
        <w:t>P</w:t>
      </w:r>
      <w:r w:rsidR="00016C57" w:rsidRPr="00CA1E22">
        <w:rPr>
          <w:rFonts w:ascii="Tahoma" w:hAnsi="Tahoma" w:cs="Tahoma"/>
          <w:b/>
          <w:sz w:val="24"/>
          <w:szCs w:val="24"/>
        </w:rPr>
        <w:t>lan d’engagement trimestriel</w:t>
      </w:r>
    </w:p>
    <w:p w:rsidR="00016C57" w:rsidRPr="00016C57" w:rsidRDefault="00016C57" w:rsidP="00016C57">
      <w:pPr>
        <w:spacing w:after="0" w:line="360" w:lineRule="auto"/>
        <w:jc w:val="both"/>
        <w:rPr>
          <w:rFonts w:ascii="Tahoma" w:hAnsi="Tahoma" w:cs="Tahoma"/>
          <w:sz w:val="24"/>
          <w:szCs w:val="24"/>
        </w:rPr>
      </w:pPr>
    </w:p>
    <w:p w:rsidR="00016C57" w:rsidRPr="00016C57" w:rsidRDefault="00016C57" w:rsidP="00CA1E22">
      <w:pPr>
        <w:spacing w:after="0" w:line="360" w:lineRule="auto"/>
        <w:jc w:val="both"/>
        <w:rPr>
          <w:rFonts w:ascii="Tahoma" w:hAnsi="Tahoma" w:cs="Tahoma"/>
          <w:sz w:val="24"/>
          <w:szCs w:val="24"/>
        </w:rPr>
      </w:pPr>
      <w:r w:rsidRPr="00016C57">
        <w:rPr>
          <w:rFonts w:ascii="Tahoma" w:hAnsi="Tahoma" w:cs="Tahoma"/>
          <w:sz w:val="24"/>
          <w:szCs w:val="24"/>
        </w:rPr>
        <w:t xml:space="preserve">Le plan d’engagement trimestriel (PET) est un outil de gestion qui établit une programmation annuelle des engagements de dépenses budgétaires. Ce plan, trimestriel, permet au MEFP de réguler le rythme d’exécution du budget et d’éviter un engorgement au niveau des services du Trésor ou la constitution d’arriérés de paiement. </w:t>
      </w:r>
    </w:p>
    <w:p w:rsidR="00016C57" w:rsidRPr="00016C57" w:rsidRDefault="00016C57" w:rsidP="00CA1E22">
      <w:pPr>
        <w:spacing w:after="0" w:line="360" w:lineRule="auto"/>
        <w:jc w:val="both"/>
        <w:rPr>
          <w:rFonts w:ascii="Tahoma" w:hAnsi="Tahoma" w:cs="Tahoma"/>
          <w:sz w:val="24"/>
          <w:szCs w:val="24"/>
        </w:rPr>
      </w:pPr>
      <w:r w:rsidRPr="00016C57">
        <w:rPr>
          <w:rFonts w:ascii="Tahoma" w:hAnsi="Tahoma" w:cs="Tahoma"/>
          <w:sz w:val="24"/>
          <w:szCs w:val="24"/>
        </w:rPr>
        <w:t xml:space="preserve">Le PET, dispositif de planification opérationnelle, est préparé par </w:t>
      </w:r>
      <w:r w:rsidRPr="003D11C6">
        <w:rPr>
          <w:rFonts w:ascii="Tahoma" w:hAnsi="Tahoma" w:cs="Tahoma"/>
          <w:sz w:val="24"/>
          <w:szCs w:val="24"/>
        </w:rPr>
        <w:t>l’</w:t>
      </w:r>
      <w:r w:rsidR="00DD3DD8" w:rsidRPr="003D11C6">
        <w:rPr>
          <w:rFonts w:ascii="Tahoma" w:hAnsi="Tahoma" w:cs="Tahoma"/>
          <w:sz w:val="24"/>
          <w:szCs w:val="24"/>
        </w:rPr>
        <w:t xml:space="preserve">administrateur </w:t>
      </w:r>
      <w:r w:rsidR="003D11C6" w:rsidRPr="003D11C6">
        <w:rPr>
          <w:rFonts w:ascii="Tahoma" w:hAnsi="Tahoma" w:cs="Tahoma"/>
          <w:sz w:val="24"/>
          <w:szCs w:val="24"/>
        </w:rPr>
        <w:t>de crédits (</w:t>
      </w:r>
      <w:r w:rsidRPr="003D11C6">
        <w:rPr>
          <w:rFonts w:ascii="Tahoma" w:hAnsi="Tahoma" w:cs="Tahoma"/>
          <w:sz w:val="24"/>
          <w:szCs w:val="24"/>
        </w:rPr>
        <w:t>ADC</w:t>
      </w:r>
      <w:r w:rsidR="003D11C6" w:rsidRPr="003D11C6">
        <w:rPr>
          <w:rFonts w:ascii="Tahoma" w:hAnsi="Tahoma" w:cs="Tahoma"/>
          <w:sz w:val="24"/>
          <w:szCs w:val="24"/>
        </w:rPr>
        <w:t>)</w:t>
      </w:r>
      <w:r w:rsidRPr="003D11C6">
        <w:rPr>
          <w:rFonts w:ascii="Tahoma" w:hAnsi="Tahoma" w:cs="Tahoma"/>
          <w:sz w:val="24"/>
          <w:szCs w:val="24"/>
        </w:rPr>
        <w:t xml:space="preserve"> sur la base d</w:t>
      </w:r>
      <w:r w:rsidR="00EF4C64" w:rsidRPr="003D11C6">
        <w:rPr>
          <w:rFonts w:ascii="Tahoma" w:hAnsi="Tahoma" w:cs="Tahoma"/>
          <w:sz w:val="24"/>
          <w:szCs w:val="24"/>
        </w:rPr>
        <w:t>es montants de crédits de la LF</w:t>
      </w:r>
      <w:r w:rsidRPr="003D11C6">
        <w:rPr>
          <w:rFonts w:ascii="Tahoma" w:hAnsi="Tahoma" w:cs="Tahoma"/>
          <w:sz w:val="24"/>
          <w:szCs w:val="24"/>
        </w:rPr>
        <w:t>. Le plan est soumis à la</w:t>
      </w:r>
      <w:r w:rsidRPr="00016C57">
        <w:rPr>
          <w:rFonts w:ascii="Tahoma" w:hAnsi="Tahoma" w:cs="Tahoma"/>
          <w:sz w:val="24"/>
          <w:szCs w:val="24"/>
        </w:rPr>
        <w:t xml:space="preserve"> validation du Ministre ou Président d’institution avant transmission </w:t>
      </w:r>
      <w:r w:rsidR="00EF4C64">
        <w:rPr>
          <w:rFonts w:ascii="Tahoma" w:hAnsi="Tahoma" w:cs="Tahoma"/>
          <w:sz w:val="24"/>
          <w:szCs w:val="24"/>
        </w:rPr>
        <w:t xml:space="preserve">au service de la DGB chargé du contrôle budgétaire </w:t>
      </w:r>
      <w:r w:rsidRPr="00016C57">
        <w:rPr>
          <w:rFonts w:ascii="Tahoma" w:hAnsi="Tahoma" w:cs="Tahoma"/>
          <w:sz w:val="24"/>
          <w:szCs w:val="24"/>
        </w:rPr>
        <w:t>qui s’en sert comme outil de contrôle du rythme de consommation des crédits.</w:t>
      </w:r>
    </w:p>
    <w:p w:rsidR="00016C57" w:rsidRPr="00016C57" w:rsidRDefault="00016C57" w:rsidP="00016C57">
      <w:pPr>
        <w:spacing w:after="0" w:line="360" w:lineRule="auto"/>
        <w:ind w:firstLine="708"/>
        <w:jc w:val="both"/>
        <w:rPr>
          <w:rFonts w:ascii="Tahoma" w:hAnsi="Tahoma" w:cs="Tahoma"/>
          <w:sz w:val="24"/>
          <w:szCs w:val="24"/>
        </w:rPr>
      </w:pPr>
    </w:p>
    <w:p w:rsidR="00016C57" w:rsidRPr="00CA1E22" w:rsidRDefault="00CA1E22" w:rsidP="00EF4C64">
      <w:pPr>
        <w:pStyle w:val="Paragraphedeliste"/>
        <w:numPr>
          <w:ilvl w:val="0"/>
          <w:numId w:val="19"/>
        </w:numPr>
        <w:spacing w:after="0" w:line="360" w:lineRule="auto"/>
        <w:jc w:val="both"/>
        <w:rPr>
          <w:rFonts w:ascii="Tahoma" w:hAnsi="Tahoma" w:cs="Tahoma"/>
          <w:b/>
          <w:sz w:val="24"/>
          <w:szCs w:val="24"/>
        </w:rPr>
      </w:pPr>
      <w:r>
        <w:rPr>
          <w:rFonts w:ascii="Tahoma" w:hAnsi="Tahoma" w:cs="Tahoma"/>
          <w:b/>
          <w:sz w:val="24"/>
          <w:szCs w:val="24"/>
        </w:rPr>
        <w:t>T</w:t>
      </w:r>
      <w:r w:rsidR="00016C57" w:rsidRPr="00CA1E22">
        <w:rPr>
          <w:rFonts w:ascii="Tahoma" w:hAnsi="Tahoma" w:cs="Tahoma"/>
          <w:b/>
          <w:sz w:val="24"/>
          <w:szCs w:val="24"/>
        </w:rPr>
        <w:t>ableau de bord de suivi de l’exécution budgétaire</w:t>
      </w:r>
    </w:p>
    <w:p w:rsidR="00016C57" w:rsidRPr="00016C57" w:rsidRDefault="00016C57" w:rsidP="00016C57">
      <w:pPr>
        <w:spacing w:after="0" w:line="360" w:lineRule="auto"/>
        <w:jc w:val="both"/>
        <w:rPr>
          <w:rFonts w:ascii="Tahoma" w:hAnsi="Tahoma" w:cs="Tahoma"/>
          <w:sz w:val="24"/>
          <w:szCs w:val="24"/>
        </w:rPr>
      </w:pPr>
    </w:p>
    <w:p w:rsidR="00016C57" w:rsidRPr="00016C57" w:rsidRDefault="00016C57" w:rsidP="00CA1E22">
      <w:pPr>
        <w:spacing w:after="0" w:line="360" w:lineRule="auto"/>
        <w:jc w:val="both"/>
        <w:rPr>
          <w:rFonts w:ascii="Tahoma" w:hAnsi="Tahoma" w:cs="Tahoma"/>
          <w:bCs/>
          <w:iCs/>
          <w:sz w:val="24"/>
          <w:szCs w:val="24"/>
        </w:rPr>
      </w:pPr>
      <w:r w:rsidRPr="00016C57">
        <w:rPr>
          <w:rFonts w:ascii="Tahoma" w:hAnsi="Tahoma" w:cs="Tahoma"/>
          <w:sz w:val="24"/>
          <w:szCs w:val="24"/>
        </w:rPr>
        <w:t>Le tableau de bord est un outil de lecture synthétique, global et rapide qui a vocation à aider les responsables notamment les Secrétaires généraux (SG) et les Responsables de programme à prendre des décisions. Il présente des indicateurs (financiers et</w:t>
      </w:r>
      <w:r w:rsidR="0027022A">
        <w:rPr>
          <w:rFonts w:ascii="Tahoma" w:hAnsi="Tahoma" w:cs="Tahoma"/>
          <w:sz w:val="24"/>
          <w:szCs w:val="24"/>
        </w:rPr>
        <w:t xml:space="preserve"> non financiers). Il permet au R</w:t>
      </w:r>
      <w:r w:rsidRPr="00016C57">
        <w:rPr>
          <w:rFonts w:ascii="Tahoma" w:hAnsi="Tahoma" w:cs="Tahoma"/>
          <w:sz w:val="24"/>
          <w:szCs w:val="24"/>
        </w:rPr>
        <w:t>esponsable de programme de connaitre l’état d’avancement des activités dont il a la charge et pour le</w:t>
      </w:r>
      <w:r w:rsidR="0027022A">
        <w:rPr>
          <w:rFonts w:ascii="Tahoma" w:hAnsi="Tahoma" w:cs="Tahoma"/>
          <w:sz w:val="24"/>
          <w:szCs w:val="24"/>
        </w:rPr>
        <w:t>s</w:t>
      </w:r>
      <w:r w:rsidRPr="00016C57">
        <w:rPr>
          <w:rFonts w:ascii="Tahoma" w:hAnsi="Tahoma" w:cs="Tahoma"/>
          <w:sz w:val="24"/>
          <w:szCs w:val="24"/>
        </w:rPr>
        <w:t>quel</w:t>
      </w:r>
      <w:r w:rsidR="0027022A">
        <w:rPr>
          <w:rFonts w:ascii="Tahoma" w:hAnsi="Tahoma" w:cs="Tahoma"/>
          <w:sz w:val="24"/>
          <w:szCs w:val="24"/>
        </w:rPr>
        <w:t>les</w:t>
      </w:r>
      <w:r w:rsidRPr="00016C57">
        <w:rPr>
          <w:rFonts w:ascii="Tahoma" w:hAnsi="Tahoma" w:cs="Tahoma"/>
          <w:sz w:val="24"/>
          <w:szCs w:val="24"/>
        </w:rPr>
        <w:t xml:space="preserve"> il s’est engagé à atteindre un ou plusieurs objectifs annuels</w:t>
      </w:r>
      <w:r w:rsidR="003435CD">
        <w:rPr>
          <w:rFonts w:ascii="Tahoma" w:hAnsi="Tahoma" w:cs="Tahoma"/>
          <w:sz w:val="24"/>
          <w:szCs w:val="24"/>
        </w:rPr>
        <w:t>.</w:t>
      </w:r>
    </w:p>
    <w:sectPr w:rsidR="00016C57" w:rsidRPr="00016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074"/>
    <w:multiLevelType w:val="hybridMultilevel"/>
    <w:tmpl w:val="28B4F13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28A0A77"/>
    <w:multiLevelType w:val="hybridMultilevel"/>
    <w:tmpl w:val="5638379C"/>
    <w:lvl w:ilvl="0" w:tplc="0409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11E9541B"/>
    <w:multiLevelType w:val="hybridMultilevel"/>
    <w:tmpl w:val="AA0E649C"/>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D94EB1"/>
    <w:multiLevelType w:val="hybridMultilevel"/>
    <w:tmpl w:val="4B903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A80350"/>
    <w:multiLevelType w:val="hybridMultilevel"/>
    <w:tmpl w:val="74F0BA1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3C571FFE"/>
    <w:multiLevelType w:val="hybridMultilevel"/>
    <w:tmpl w:val="3648E9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406701B1"/>
    <w:multiLevelType w:val="hybridMultilevel"/>
    <w:tmpl w:val="1548B77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4466395A"/>
    <w:multiLevelType w:val="hybridMultilevel"/>
    <w:tmpl w:val="CF9C090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44926662"/>
    <w:multiLevelType w:val="multilevel"/>
    <w:tmpl w:val="F56A941A"/>
    <w:lvl w:ilvl="0">
      <w:start w:val="1"/>
      <w:numFmt w:val="decimal"/>
      <w:lvlText w:val="%1"/>
      <w:lvlJc w:val="left"/>
      <w:pPr>
        <w:ind w:left="420" w:hanging="420"/>
      </w:pPr>
      <w:rPr>
        <w:rFonts w:hint="default"/>
      </w:rPr>
    </w:lvl>
    <w:lvl w:ilvl="1">
      <w:start w:val="1"/>
      <w:numFmt w:val="decimal"/>
      <w:lvlText w:val="%1-%2"/>
      <w:lvlJc w:val="left"/>
      <w:pPr>
        <w:ind w:left="2556" w:hanging="420"/>
      </w:pPr>
      <w:rPr>
        <w:rFonts w:hint="default"/>
      </w:rPr>
    </w:lvl>
    <w:lvl w:ilvl="2">
      <w:start w:val="1"/>
      <w:numFmt w:val="decimal"/>
      <w:lvlText w:val="%1-%2.%3"/>
      <w:lvlJc w:val="left"/>
      <w:pPr>
        <w:ind w:left="4992" w:hanging="720"/>
      </w:pPr>
      <w:rPr>
        <w:rFonts w:hint="default"/>
      </w:rPr>
    </w:lvl>
    <w:lvl w:ilvl="3">
      <w:start w:val="1"/>
      <w:numFmt w:val="decimal"/>
      <w:lvlText w:val="%1-%2.%3.%4"/>
      <w:lvlJc w:val="left"/>
      <w:pPr>
        <w:ind w:left="7488" w:hanging="1080"/>
      </w:pPr>
      <w:rPr>
        <w:rFonts w:hint="default"/>
      </w:rPr>
    </w:lvl>
    <w:lvl w:ilvl="4">
      <w:start w:val="1"/>
      <w:numFmt w:val="decimal"/>
      <w:lvlText w:val="%1-%2.%3.%4.%5"/>
      <w:lvlJc w:val="left"/>
      <w:pPr>
        <w:ind w:left="9624" w:hanging="1080"/>
      </w:pPr>
      <w:rPr>
        <w:rFonts w:hint="default"/>
      </w:rPr>
    </w:lvl>
    <w:lvl w:ilvl="5">
      <w:start w:val="1"/>
      <w:numFmt w:val="decimal"/>
      <w:lvlText w:val="%1-%2.%3.%4.%5.%6"/>
      <w:lvlJc w:val="left"/>
      <w:pPr>
        <w:ind w:left="12120" w:hanging="1440"/>
      </w:pPr>
      <w:rPr>
        <w:rFonts w:hint="default"/>
      </w:rPr>
    </w:lvl>
    <w:lvl w:ilvl="6">
      <w:start w:val="1"/>
      <w:numFmt w:val="decimal"/>
      <w:lvlText w:val="%1-%2.%3.%4.%5.%6.%7"/>
      <w:lvlJc w:val="left"/>
      <w:pPr>
        <w:ind w:left="14256" w:hanging="1440"/>
      </w:pPr>
      <w:rPr>
        <w:rFonts w:hint="default"/>
      </w:rPr>
    </w:lvl>
    <w:lvl w:ilvl="7">
      <w:start w:val="1"/>
      <w:numFmt w:val="decimal"/>
      <w:lvlText w:val="%1-%2.%3.%4.%5.%6.%7.%8"/>
      <w:lvlJc w:val="left"/>
      <w:pPr>
        <w:ind w:left="16752" w:hanging="1800"/>
      </w:pPr>
      <w:rPr>
        <w:rFonts w:hint="default"/>
      </w:rPr>
    </w:lvl>
    <w:lvl w:ilvl="8">
      <w:start w:val="1"/>
      <w:numFmt w:val="decimal"/>
      <w:lvlText w:val="%1-%2.%3.%4.%5.%6.%7.%8.%9"/>
      <w:lvlJc w:val="left"/>
      <w:pPr>
        <w:ind w:left="18888" w:hanging="1800"/>
      </w:pPr>
      <w:rPr>
        <w:rFonts w:hint="default"/>
      </w:rPr>
    </w:lvl>
  </w:abstractNum>
  <w:abstractNum w:abstractNumId="9">
    <w:nsid w:val="45FE5563"/>
    <w:multiLevelType w:val="hybridMultilevel"/>
    <w:tmpl w:val="3ED022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FF53D15"/>
    <w:multiLevelType w:val="hybridMultilevel"/>
    <w:tmpl w:val="1B7A5B0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2A25A6C"/>
    <w:multiLevelType w:val="hybridMultilevel"/>
    <w:tmpl w:val="7A7EC90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56F66F36"/>
    <w:multiLevelType w:val="hybridMultilevel"/>
    <w:tmpl w:val="87565074"/>
    <w:lvl w:ilvl="0" w:tplc="3C18C476">
      <w:numFmt w:val="bullet"/>
      <w:lvlText w:val="-"/>
      <w:lvlJc w:val="left"/>
      <w:pPr>
        <w:ind w:left="720" w:hanging="360"/>
      </w:pPr>
      <w:rPr>
        <w:rFonts w:ascii="Tahoma" w:eastAsiaTheme="minorEastAsi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715626E"/>
    <w:multiLevelType w:val="hybridMultilevel"/>
    <w:tmpl w:val="E83858D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6EE638C9"/>
    <w:multiLevelType w:val="hybridMultilevel"/>
    <w:tmpl w:val="E1E82C44"/>
    <w:lvl w:ilvl="0" w:tplc="841CC27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734023C9"/>
    <w:multiLevelType w:val="hybridMultilevel"/>
    <w:tmpl w:val="F822B460"/>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783F5665"/>
    <w:multiLevelType w:val="hybridMultilevel"/>
    <w:tmpl w:val="08DC40D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nsid w:val="7C510F8E"/>
    <w:multiLevelType w:val="hybridMultilevel"/>
    <w:tmpl w:val="CF160FB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7E654143"/>
    <w:multiLevelType w:val="hybridMultilevel"/>
    <w:tmpl w:val="73306C2C"/>
    <w:lvl w:ilvl="0" w:tplc="940630CC">
      <w:start w:val="1"/>
      <w:numFmt w:val="decimal"/>
      <w:lvlText w:val="%1."/>
      <w:lvlJc w:val="left"/>
      <w:pPr>
        <w:ind w:left="2496" w:hanging="360"/>
      </w:pPr>
      <w:rPr>
        <w:rFonts w:hint="default"/>
      </w:rPr>
    </w:lvl>
    <w:lvl w:ilvl="1" w:tplc="040C0019" w:tentative="1">
      <w:start w:val="1"/>
      <w:numFmt w:val="lowerLetter"/>
      <w:lvlText w:val="%2."/>
      <w:lvlJc w:val="left"/>
      <w:pPr>
        <w:ind w:left="3216" w:hanging="360"/>
      </w:pPr>
    </w:lvl>
    <w:lvl w:ilvl="2" w:tplc="040C001B" w:tentative="1">
      <w:start w:val="1"/>
      <w:numFmt w:val="lowerRoman"/>
      <w:lvlText w:val="%3."/>
      <w:lvlJc w:val="right"/>
      <w:pPr>
        <w:ind w:left="3936" w:hanging="180"/>
      </w:pPr>
    </w:lvl>
    <w:lvl w:ilvl="3" w:tplc="040C000F" w:tentative="1">
      <w:start w:val="1"/>
      <w:numFmt w:val="decimal"/>
      <w:lvlText w:val="%4."/>
      <w:lvlJc w:val="left"/>
      <w:pPr>
        <w:ind w:left="4656" w:hanging="360"/>
      </w:pPr>
    </w:lvl>
    <w:lvl w:ilvl="4" w:tplc="040C0019" w:tentative="1">
      <w:start w:val="1"/>
      <w:numFmt w:val="lowerLetter"/>
      <w:lvlText w:val="%5."/>
      <w:lvlJc w:val="left"/>
      <w:pPr>
        <w:ind w:left="5376" w:hanging="360"/>
      </w:pPr>
    </w:lvl>
    <w:lvl w:ilvl="5" w:tplc="040C001B" w:tentative="1">
      <w:start w:val="1"/>
      <w:numFmt w:val="lowerRoman"/>
      <w:lvlText w:val="%6."/>
      <w:lvlJc w:val="right"/>
      <w:pPr>
        <w:ind w:left="6096" w:hanging="180"/>
      </w:pPr>
    </w:lvl>
    <w:lvl w:ilvl="6" w:tplc="040C000F" w:tentative="1">
      <w:start w:val="1"/>
      <w:numFmt w:val="decimal"/>
      <w:lvlText w:val="%7."/>
      <w:lvlJc w:val="left"/>
      <w:pPr>
        <w:ind w:left="6816" w:hanging="360"/>
      </w:pPr>
    </w:lvl>
    <w:lvl w:ilvl="7" w:tplc="040C0019" w:tentative="1">
      <w:start w:val="1"/>
      <w:numFmt w:val="lowerLetter"/>
      <w:lvlText w:val="%8."/>
      <w:lvlJc w:val="left"/>
      <w:pPr>
        <w:ind w:left="7536" w:hanging="360"/>
      </w:pPr>
    </w:lvl>
    <w:lvl w:ilvl="8" w:tplc="040C001B" w:tentative="1">
      <w:start w:val="1"/>
      <w:numFmt w:val="lowerRoman"/>
      <w:lvlText w:val="%9."/>
      <w:lvlJc w:val="right"/>
      <w:pPr>
        <w:ind w:left="8256" w:hanging="180"/>
      </w:pPr>
    </w:lvl>
  </w:abstractNum>
  <w:abstractNum w:abstractNumId="19">
    <w:nsid w:val="7EA56557"/>
    <w:multiLevelType w:val="hybridMultilevel"/>
    <w:tmpl w:val="197274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7EAF5354"/>
    <w:multiLevelType w:val="hybridMultilevel"/>
    <w:tmpl w:val="FCD8A85E"/>
    <w:lvl w:ilvl="0" w:tplc="04300486">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15"/>
  </w:num>
  <w:num w:numId="5">
    <w:abstractNumId w:val="6"/>
  </w:num>
  <w:num w:numId="6">
    <w:abstractNumId w:val="3"/>
  </w:num>
  <w:num w:numId="7">
    <w:abstractNumId w:val="17"/>
  </w:num>
  <w:num w:numId="8">
    <w:abstractNumId w:val="19"/>
  </w:num>
  <w:num w:numId="9">
    <w:abstractNumId w:val="1"/>
  </w:num>
  <w:num w:numId="10">
    <w:abstractNumId w:val="13"/>
  </w:num>
  <w:num w:numId="11">
    <w:abstractNumId w:val="16"/>
  </w:num>
  <w:num w:numId="12">
    <w:abstractNumId w:val="5"/>
  </w:num>
  <w:num w:numId="13">
    <w:abstractNumId w:val="11"/>
  </w:num>
  <w:num w:numId="14">
    <w:abstractNumId w:val="9"/>
  </w:num>
  <w:num w:numId="15">
    <w:abstractNumId w:val="0"/>
  </w:num>
  <w:num w:numId="16">
    <w:abstractNumId w:val="4"/>
  </w:num>
  <w:num w:numId="17">
    <w:abstractNumId w:val="14"/>
  </w:num>
  <w:num w:numId="18">
    <w:abstractNumId w:val="18"/>
  </w:num>
  <w:num w:numId="19">
    <w:abstractNumId w:val="10"/>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C57"/>
    <w:rsid w:val="00016C57"/>
    <w:rsid w:val="001B6070"/>
    <w:rsid w:val="0027022A"/>
    <w:rsid w:val="00340E7E"/>
    <w:rsid w:val="003435CD"/>
    <w:rsid w:val="003926EA"/>
    <w:rsid w:val="003D11C6"/>
    <w:rsid w:val="00905D20"/>
    <w:rsid w:val="00CA1E22"/>
    <w:rsid w:val="00CB1D33"/>
    <w:rsid w:val="00D666D9"/>
    <w:rsid w:val="00DD3DD8"/>
    <w:rsid w:val="00E3715D"/>
    <w:rsid w:val="00EF4C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C57"/>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6C57"/>
    <w:pPr>
      <w:ind w:left="720"/>
      <w:contextualSpacing/>
    </w:pPr>
  </w:style>
  <w:style w:type="paragraph" w:customStyle="1" w:styleId="ADIETche">
    <w:name w:val="ADIE Tâche"/>
    <w:basedOn w:val="Normal"/>
    <w:rsid w:val="00016C57"/>
    <w:pPr>
      <w:tabs>
        <w:tab w:val="num" w:pos="2124"/>
      </w:tabs>
      <w:spacing w:after="0" w:line="240" w:lineRule="auto"/>
      <w:ind w:left="2124" w:hanging="360"/>
    </w:pPr>
    <w:rPr>
      <w:rFonts w:ascii="Palatino Linotype" w:eastAsia="Times New Roman" w:hAnsi="Palatino Linotype" w:cs="Arial"/>
      <w:iCs/>
      <w:color w:val="00006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C57"/>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6C57"/>
    <w:pPr>
      <w:ind w:left="720"/>
      <w:contextualSpacing/>
    </w:pPr>
  </w:style>
  <w:style w:type="paragraph" w:customStyle="1" w:styleId="ADIETche">
    <w:name w:val="ADIE Tâche"/>
    <w:basedOn w:val="Normal"/>
    <w:rsid w:val="00016C57"/>
    <w:pPr>
      <w:tabs>
        <w:tab w:val="num" w:pos="2124"/>
      </w:tabs>
      <w:spacing w:after="0" w:line="240" w:lineRule="auto"/>
      <w:ind w:left="2124" w:hanging="360"/>
    </w:pPr>
    <w:rPr>
      <w:rFonts w:ascii="Palatino Linotype" w:eastAsia="Times New Roman" w:hAnsi="Palatino Linotype" w:cs="Arial"/>
      <w:iCs/>
      <w:color w:val="0000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732</Words>
  <Characters>4032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user</cp:lastModifiedBy>
  <cp:revision>7</cp:revision>
  <dcterms:created xsi:type="dcterms:W3CDTF">2018-09-16T10:44:00Z</dcterms:created>
  <dcterms:modified xsi:type="dcterms:W3CDTF">2018-10-16T12:59:00Z</dcterms:modified>
</cp:coreProperties>
</file>