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7F17" w:rsidRPr="00430BF1" w:rsidRDefault="00CD7F17" w:rsidP="00430BF1">
      <w:pPr>
        <w:spacing w:after="0" w:line="360" w:lineRule="auto"/>
        <w:jc w:val="both"/>
        <w:rPr>
          <w:rFonts w:ascii="Tahoma" w:hAnsi="Tahoma" w:cs="Tahoma"/>
          <w:sz w:val="24"/>
          <w:szCs w:val="24"/>
        </w:rPr>
      </w:pPr>
    </w:p>
    <w:p w:rsidR="00CD7F17" w:rsidRPr="00D553E1" w:rsidRDefault="00CD7F17" w:rsidP="003D2FC6">
      <w:pPr>
        <w:pStyle w:val="Paragraphedeliste"/>
        <w:spacing w:after="0" w:line="360" w:lineRule="auto"/>
        <w:jc w:val="center"/>
        <w:rPr>
          <w:rFonts w:ascii="Tahoma" w:hAnsi="Tahoma" w:cs="Tahoma"/>
          <w:b/>
          <w:sz w:val="24"/>
          <w:szCs w:val="24"/>
        </w:rPr>
      </w:pPr>
      <w:r w:rsidRPr="00D553E1">
        <w:rPr>
          <w:rFonts w:ascii="Tahoma" w:hAnsi="Tahoma" w:cs="Tahoma"/>
          <w:b/>
          <w:sz w:val="24"/>
          <w:szCs w:val="24"/>
        </w:rPr>
        <w:t>Contrôle de la Cour des comptes</w:t>
      </w:r>
    </w:p>
    <w:p w:rsidR="00CD7F17" w:rsidRPr="00430BF1" w:rsidRDefault="00CD7F17" w:rsidP="00430BF1">
      <w:pPr>
        <w:spacing w:after="0" w:line="360" w:lineRule="auto"/>
        <w:ind w:firstLine="708"/>
        <w:jc w:val="both"/>
        <w:rPr>
          <w:rFonts w:ascii="Tahoma" w:hAnsi="Tahoma" w:cs="Tahoma"/>
          <w:sz w:val="24"/>
          <w:szCs w:val="24"/>
        </w:rPr>
      </w:pPr>
    </w:p>
    <w:p w:rsidR="008A2FE8" w:rsidRDefault="00662A0C" w:rsidP="00D553E1">
      <w:pPr>
        <w:spacing w:after="0" w:line="360" w:lineRule="auto"/>
        <w:jc w:val="both"/>
        <w:rPr>
          <w:rFonts w:ascii="Tahoma" w:hAnsi="Tahoma" w:cs="Tahoma"/>
          <w:sz w:val="24"/>
          <w:szCs w:val="24"/>
        </w:rPr>
      </w:pPr>
      <w:r w:rsidRPr="00430BF1">
        <w:rPr>
          <w:rFonts w:ascii="Tahoma" w:hAnsi="Tahoma" w:cs="Tahoma"/>
          <w:sz w:val="24"/>
          <w:szCs w:val="24"/>
        </w:rPr>
        <w:t>Dans sa mission d’assistance au parlement dans le contrôle de l’exécution des lois de finances</w:t>
      </w:r>
      <w:r w:rsidR="009745DA" w:rsidRPr="00430BF1">
        <w:rPr>
          <w:rFonts w:ascii="Tahoma" w:hAnsi="Tahoma" w:cs="Tahoma"/>
          <w:sz w:val="24"/>
          <w:szCs w:val="24"/>
        </w:rPr>
        <w:t xml:space="preserve"> </w:t>
      </w:r>
      <w:r w:rsidRPr="00430BF1">
        <w:rPr>
          <w:rFonts w:ascii="Tahoma" w:hAnsi="Tahoma" w:cs="Tahoma"/>
          <w:sz w:val="24"/>
          <w:szCs w:val="24"/>
        </w:rPr>
        <w:t xml:space="preserve">(art. 13 62 de la LOLF de 2011et l’art.71 de la </w:t>
      </w:r>
      <w:r w:rsidR="005C129F" w:rsidRPr="00430BF1">
        <w:rPr>
          <w:rFonts w:ascii="Tahoma" w:hAnsi="Tahoma" w:cs="Tahoma"/>
          <w:sz w:val="24"/>
          <w:szCs w:val="24"/>
        </w:rPr>
        <w:t>loi 2012-23 du 27 décembre 2012 sur la Cour des comptes</w:t>
      </w:r>
      <w:r w:rsidRPr="00430BF1">
        <w:rPr>
          <w:rFonts w:ascii="Tahoma" w:hAnsi="Tahoma" w:cs="Tahoma"/>
          <w:sz w:val="24"/>
          <w:szCs w:val="24"/>
        </w:rPr>
        <w:t>), la Cour des Comptes contrôle l’exécution des lois de finances en établissant un rapport sur le projet de</w:t>
      </w:r>
      <w:r w:rsidR="00CB2F55" w:rsidRPr="00430BF1">
        <w:rPr>
          <w:rFonts w:ascii="Tahoma" w:hAnsi="Tahoma" w:cs="Tahoma"/>
          <w:sz w:val="24"/>
          <w:szCs w:val="24"/>
        </w:rPr>
        <w:t xml:space="preserve"> Loi de</w:t>
      </w:r>
      <w:r w:rsidRPr="00430BF1">
        <w:rPr>
          <w:rFonts w:ascii="Tahoma" w:hAnsi="Tahoma" w:cs="Tahoma"/>
          <w:sz w:val="24"/>
          <w:szCs w:val="24"/>
        </w:rPr>
        <w:t xml:space="preserve"> règlement et une Déclaration de conformité, en vue de permettre au Parlement d’apprécier l’action du gouvernement en matière de gestion des opérations financières de l’Etat. </w:t>
      </w:r>
    </w:p>
    <w:p w:rsidR="00CD7F17" w:rsidRPr="00430BF1" w:rsidRDefault="00662A0C" w:rsidP="00D553E1">
      <w:pPr>
        <w:spacing w:after="0" w:line="360" w:lineRule="auto"/>
        <w:jc w:val="both"/>
        <w:rPr>
          <w:rFonts w:ascii="Tahoma" w:hAnsi="Tahoma" w:cs="Tahoma"/>
          <w:sz w:val="24"/>
          <w:szCs w:val="24"/>
        </w:rPr>
      </w:pPr>
      <w:r w:rsidRPr="00430BF1">
        <w:rPr>
          <w:rFonts w:ascii="Tahoma" w:hAnsi="Tahoma" w:cs="Tahoma"/>
          <w:sz w:val="24"/>
          <w:szCs w:val="24"/>
        </w:rPr>
        <w:t xml:space="preserve">Ce rapport doit, d’une part rendre compte de l’exécution de ces opérations et, d’autre part, apprécier leur régularité. Il donne une situation financière de l’Etat au terme de la gestion écoulée. </w:t>
      </w:r>
    </w:p>
    <w:p w:rsidR="009745DA" w:rsidRPr="00430BF1" w:rsidRDefault="009745DA" w:rsidP="00430BF1">
      <w:pPr>
        <w:spacing w:after="0" w:line="360" w:lineRule="auto"/>
        <w:ind w:firstLine="708"/>
        <w:jc w:val="both"/>
        <w:rPr>
          <w:rFonts w:ascii="Tahoma" w:hAnsi="Tahoma" w:cs="Tahoma"/>
          <w:sz w:val="24"/>
          <w:szCs w:val="24"/>
        </w:rPr>
      </w:pPr>
    </w:p>
    <w:p w:rsidR="00CD7F17" w:rsidRPr="008A2FE8" w:rsidRDefault="00CD7F17" w:rsidP="00886B8F">
      <w:pPr>
        <w:pStyle w:val="Paragraphedeliste"/>
        <w:numPr>
          <w:ilvl w:val="0"/>
          <w:numId w:val="1"/>
        </w:numPr>
        <w:spacing w:line="360" w:lineRule="auto"/>
        <w:rPr>
          <w:rFonts w:ascii="Tahoma" w:hAnsi="Tahoma" w:cs="Tahoma"/>
          <w:sz w:val="24"/>
          <w:szCs w:val="24"/>
          <w:u w:val="single"/>
        </w:rPr>
      </w:pPr>
      <w:r w:rsidRPr="008A2FE8">
        <w:rPr>
          <w:rFonts w:ascii="Tahoma" w:hAnsi="Tahoma" w:cs="Tahoma"/>
          <w:sz w:val="24"/>
          <w:szCs w:val="24"/>
          <w:u w:val="single"/>
        </w:rPr>
        <w:t>Contrôle de l’exécution de la loi de finances</w:t>
      </w:r>
    </w:p>
    <w:p w:rsidR="00CD7F17" w:rsidRPr="00430BF1" w:rsidRDefault="00CD7F17" w:rsidP="008A2FE8">
      <w:pPr>
        <w:spacing w:line="360" w:lineRule="auto"/>
        <w:jc w:val="both"/>
        <w:rPr>
          <w:rFonts w:ascii="Tahoma" w:hAnsi="Tahoma" w:cs="Tahoma"/>
          <w:sz w:val="24"/>
          <w:szCs w:val="24"/>
        </w:rPr>
      </w:pPr>
      <w:r w:rsidRPr="00430BF1">
        <w:rPr>
          <w:rFonts w:ascii="Tahoma" w:hAnsi="Tahoma" w:cs="Tahoma"/>
          <w:sz w:val="24"/>
          <w:szCs w:val="24"/>
        </w:rPr>
        <w:t>A la suite</w:t>
      </w:r>
      <w:r w:rsidR="00CB2F55" w:rsidRPr="00430BF1">
        <w:rPr>
          <w:rFonts w:ascii="Tahoma" w:hAnsi="Tahoma" w:cs="Tahoma"/>
          <w:sz w:val="24"/>
          <w:szCs w:val="24"/>
        </w:rPr>
        <w:t xml:space="preserve"> de</w:t>
      </w:r>
      <w:r w:rsidRPr="00430BF1">
        <w:rPr>
          <w:rFonts w:ascii="Tahoma" w:hAnsi="Tahoma" w:cs="Tahoma"/>
          <w:sz w:val="24"/>
          <w:szCs w:val="24"/>
        </w:rPr>
        <w:t xml:space="preserve"> l’adoption du PLR en conseil des ministres, le MEFP transmet avant le 30 juin (soit 6 mois après la clôture de l’année financière) le projet de loi de règlement à la Cour des comptes, accompagné du compte général de l’administration des finances, du compte administratif de l’ordonnateur, </w:t>
      </w:r>
      <w:r w:rsidR="001333FC" w:rsidRPr="00430BF1">
        <w:rPr>
          <w:rFonts w:ascii="Tahoma" w:hAnsi="Tahoma" w:cs="Tahoma"/>
          <w:sz w:val="24"/>
          <w:szCs w:val="24"/>
        </w:rPr>
        <w:t xml:space="preserve">des budgets annexes, </w:t>
      </w:r>
      <w:r w:rsidRPr="00430BF1">
        <w:rPr>
          <w:rFonts w:ascii="Tahoma" w:hAnsi="Tahoma" w:cs="Tahoma"/>
          <w:sz w:val="24"/>
          <w:szCs w:val="24"/>
        </w:rPr>
        <w:t>des comptes de l’ordonnateur et du comptable et des rapports annuels de performance</w:t>
      </w:r>
      <w:r w:rsidR="001333FC" w:rsidRPr="00430BF1">
        <w:rPr>
          <w:rFonts w:ascii="Tahoma" w:hAnsi="Tahoma" w:cs="Tahoma"/>
          <w:sz w:val="24"/>
          <w:szCs w:val="24"/>
        </w:rPr>
        <w:t xml:space="preserve"> (RAP)</w:t>
      </w:r>
      <w:r w:rsidRPr="00430BF1">
        <w:rPr>
          <w:rFonts w:ascii="Tahoma" w:hAnsi="Tahoma" w:cs="Tahoma"/>
          <w:sz w:val="24"/>
          <w:szCs w:val="24"/>
        </w:rPr>
        <w:t>.</w:t>
      </w:r>
    </w:p>
    <w:p w:rsidR="00CD7F17" w:rsidRPr="00430BF1" w:rsidRDefault="00CD7F17" w:rsidP="008A2FE8">
      <w:pPr>
        <w:spacing w:line="360" w:lineRule="auto"/>
        <w:jc w:val="both"/>
        <w:rPr>
          <w:rFonts w:ascii="Tahoma" w:hAnsi="Tahoma" w:cs="Tahoma"/>
          <w:sz w:val="24"/>
          <w:szCs w:val="24"/>
        </w:rPr>
      </w:pPr>
      <w:r w:rsidRPr="00430BF1">
        <w:rPr>
          <w:rFonts w:ascii="Tahoma" w:hAnsi="Tahoma" w:cs="Tahoma"/>
          <w:sz w:val="24"/>
          <w:szCs w:val="24"/>
        </w:rPr>
        <w:t>Le Président de la Chambre communique le rapport adopté pour contra</w:t>
      </w:r>
      <w:r w:rsidR="006A3811" w:rsidRPr="00430BF1">
        <w:rPr>
          <w:rFonts w:ascii="Tahoma" w:hAnsi="Tahoma" w:cs="Tahoma"/>
          <w:sz w:val="24"/>
          <w:szCs w:val="24"/>
        </w:rPr>
        <w:t>dic</w:t>
      </w:r>
      <w:r w:rsidRPr="00430BF1">
        <w:rPr>
          <w:rFonts w:ascii="Tahoma" w:hAnsi="Tahoma" w:cs="Tahoma"/>
          <w:sz w:val="24"/>
          <w:szCs w:val="24"/>
        </w:rPr>
        <w:t xml:space="preserve">tion au MEFP qui doit répondre dans le délai d’un mois par mémoire écrit. Suite aux réponses du MEFP, le Président de la chambre compétente convoque une séance de la </w:t>
      </w:r>
      <w:r w:rsidR="00EC0B46" w:rsidRPr="00430BF1">
        <w:rPr>
          <w:rFonts w:ascii="Tahoma" w:hAnsi="Tahoma" w:cs="Tahoma"/>
          <w:sz w:val="24"/>
          <w:szCs w:val="24"/>
        </w:rPr>
        <w:t>Chambre des affaires budgétaires et financières</w:t>
      </w:r>
      <w:r w:rsidRPr="00430BF1">
        <w:rPr>
          <w:rFonts w:ascii="Tahoma" w:hAnsi="Tahoma" w:cs="Tahoma"/>
          <w:sz w:val="24"/>
          <w:szCs w:val="24"/>
        </w:rPr>
        <w:t xml:space="preserve"> (CABF) pour examiner, en présence des représentants du MEFP, le rapport du magistrat ainsi que les réponses écrites et les observations orales complémentaires.</w:t>
      </w:r>
    </w:p>
    <w:p w:rsidR="00CD7F17" w:rsidRPr="00430BF1" w:rsidRDefault="00CD7F17" w:rsidP="008A2FE8">
      <w:pPr>
        <w:spacing w:line="360" w:lineRule="auto"/>
        <w:jc w:val="both"/>
        <w:rPr>
          <w:rFonts w:ascii="Tahoma" w:hAnsi="Tahoma" w:cs="Tahoma"/>
          <w:sz w:val="24"/>
          <w:szCs w:val="24"/>
        </w:rPr>
      </w:pPr>
      <w:r w:rsidRPr="00430BF1">
        <w:rPr>
          <w:rFonts w:ascii="Tahoma" w:hAnsi="Tahoma" w:cs="Tahoma"/>
          <w:sz w:val="24"/>
          <w:szCs w:val="24"/>
        </w:rPr>
        <w:t xml:space="preserve">Après cette séance contradictoire, Le Président de la chambre compétente signe une ordonnance de convocation de la chambre, fait adopter par la chambre le </w:t>
      </w:r>
      <w:proofErr w:type="gramStart"/>
      <w:r w:rsidRPr="00430BF1">
        <w:rPr>
          <w:rFonts w:ascii="Tahoma" w:hAnsi="Tahoma" w:cs="Tahoma"/>
          <w:sz w:val="24"/>
          <w:szCs w:val="24"/>
        </w:rPr>
        <w:t>rapport  et</w:t>
      </w:r>
      <w:proofErr w:type="gramEnd"/>
      <w:r w:rsidRPr="00430BF1">
        <w:rPr>
          <w:rFonts w:ascii="Tahoma" w:hAnsi="Tahoma" w:cs="Tahoma"/>
          <w:sz w:val="24"/>
          <w:szCs w:val="24"/>
        </w:rPr>
        <w:t xml:space="preserve"> le communique au Premier Président pour la convocation des chambres réunies. </w:t>
      </w:r>
    </w:p>
    <w:p w:rsidR="00CD7F17" w:rsidRPr="00430BF1" w:rsidRDefault="00CD7F17" w:rsidP="008A2FE8">
      <w:pPr>
        <w:spacing w:line="360" w:lineRule="auto"/>
        <w:jc w:val="both"/>
        <w:rPr>
          <w:rFonts w:ascii="Tahoma" w:hAnsi="Tahoma" w:cs="Tahoma"/>
          <w:sz w:val="24"/>
          <w:szCs w:val="24"/>
        </w:rPr>
      </w:pPr>
      <w:r w:rsidRPr="00430BF1">
        <w:rPr>
          <w:rFonts w:ascii="Tahoma" w:hAnsi="Tahoma" w:cs="Tahoma"/>
          <w:sz w:val="24"/>
          <w:szCs w:val="24"/>
        </w:rPr>
        <w:t xml:space="preserve">Le Premier Président communique le rapport au Procureur général pour ses conclusions et signe une ordonnance de convocation des chambres réunies. Après les </w:t>
      </w:r>
      <w:r w:rsidRPr="00430BF1">
        <w:rPr>
          <w:rFonts w:ascii="Tahoma" w:hAnsi="Tahoma" w:cs="Tahoma"/>
          <w:sz w:val="24"/>
          <w:szCs w:val="24"/>
        </w:rPr>
        <w:lastRenderedPageBreak/>
        <w:t>conclusions du procureur, il fait adopter le projet de rapport sur l’exécution de la loi de finances par les chambres réunies, dépose le rapport définitif sur le bureau du Président de l’Assemblée nationale et transmet le rapport au MEFP.</w:t>
      </w:r>
    </w:p>
    <w:p w:rsidR="00CD7F17" w:rsidRPr="008A2FE8" w:rsidRDefault="00CD7F17" w:rsidP="00886B8F">
      <w:pPr>
        <w:pStyle w:val="Paragraphedeliste"/>
        <w:numPr>
          <w:ilvl w:val="0"/>
          <w:numId w:val="1"/>
        </w:numPr>
        <w:spacing w:line="360" w:lineRule="auto"/>
        <w:rPr>
          <w:rFonts w:ascii="Tahoma" w:hAnsi="Tahoma" w:cs="Tahoma"/>
          <w:sz w:val="24"/>
          <w:szCs w:val="24"/>
          <w:u w:val="single"/>
        </w:rPr>
      </w:pPr>
      <w:r w:rsidRPr="008A2FE8">
        <w:rPr>
          <w:rFonts w:ascii="Tahoma" w:hAnsi="Tahoma" w:cs="Tahoma"/>
          <w:sz w:val="24"/>
          <w:szCs w:val="24"/>
          <w:u w:val="single"/>
        </w:rPr>
        <w:t>Déclaration générale de conformité</w:t>
      </w:r>
    </w:p>
    <w:p w:rsidR="00CD7F17" w:rsidRPr="00430BF1" w:rsidRDefault="00CD7F17" w:rsidP="008A2FE8">
      <w:pPr>
        <w:spacing w:line="360" w:lineRule="auto"/>
        <w:jc w:val="both"/>
        <w:rPr>
          <w:rFonts w:ascii="Tahoma" w:hAnsi="Tahoma" w:cs="Tahoma"/>
          <w:sz w:val="24"/>
          <w:szCs w:val="24"/>
        </w:rPr>
      </w:pPr>
      <w:r w:rsidRPr="00430BF1">
        <w:rPr>
          <w:rFonts w:ascii="Tahoma" w:hAnsi="Tahoma" w:cs="Tahoma"/>
          <w:sz w:val="24"/>
          <w:szCs w:val="24"/>
        </w:rPr>
        <w:t xml:space="preserve">La procédure est identique à celle relative au contrôle de l’exécution de la loi de finances. La déclaration générale de conformité est établie au vu des comptes de gestion des comptables principaux de l’Etat, du Compte </w:t>
      </w:r>
      <w:r w:rsidR="008A2FE8" w:rsidRPr="00430BF1">
        <w:rPr>
          <w:rFonts w:ascii="Tahoma" w:hAnsi="Tahoma" w:cs="Tahoma"/>
          <w:sz w:val="24"/>
          <w:szCs w:val="24"/>
        </w:rPr>
        <w:t>Général de</w:t>
      </w:r>
      <w:r w:rsidRPr="00430BF1">
        <w:rPr>
          <w:rFonts w:ascii="Tahoma" w:hAnsi="Tahoma" w:cs="Tahoma"/>
          <w:sz w:val="24"/>
          <w:szCs w:val="24"/>
        </w:rPr>
        <w:t xml:space="preserve"> l’Administration des Finances et du Compte administratif de l’ordonnateur.</w:t>
      </w:r>
    </w:p>
    <w:p w:rsidR="00CD7F17" w:rsidRPr="008A2FE8" w:rsidRDefault="00CD7F17" w:rsidP="00886B8F">
      <w:pPr>
        <w:pStyle w:val="Paragraphedeliste"/>
        <w:numPr>
          <w:ilvl w:val="0"/>
          <w:numId w:val="1"/>
        </w:numPr>
        <w:spacing w:line="360" w:lineRule="auto"/>
        <w:rPr>
          <w:rFonts w:ascii="Tahoma" w:hAnsi="Tahoma" w:cs="Tahoma"/>
          <w:sz w:val="24"/>
          <w:szCs w:val="24"/>
          <w:u w:val="single"/>
        </w:rPr>
      </w:pPr>
      <w:r w:rsidRPr="008A2FE8">
        <w:rPr>
          <w:rFonts w:ascii="Tahoma" w:hAnsi="Tahoma" w:cs="Tahoma"/>
          <w:sz w:val="24"/>
          <w:szCs w:val="24"/>
          <w:u w:val="single"/>
        </w:rPr>
        <w:t>Avis sur les rapports annuels de performance</w:t>
      </w:r>
    </w:p>
    <w:p w:rsidR="00CD7F17" w:rsidRPr="00430BF1" w:rsidRDefault="00CD7F17" w:rsidP="008A2FE8">
      <w:pPr>
        <w:spacing w:line="360" w:lineRule="auto"/>
        <w:jc w:val="both"/>
        <w:rPr>
          <w:rFonts w:ascii="Tahoma" w:hAnsi="Tahoma" w:cs="Tahoma"/>
          <w:sz w:val="24"/>
          <w:szCs w:val="24"/>
        </w:rPr>
      </w:pPr>
      <w:r w:rsidRPr="00430BF1">
        <w:rPr>
          <w:rFonts w:ascii="Tahoma" w:hAnsi="Tahoma" w:cs="Tahoma"/>
          <w:sz w:val="24"/>
          <w:szCs w:val="24"/>
        </w:rPr>
        <w:t xml:space="preserve">Après le dépôt des rapports de performance, le Président de la Chambre compétente communique les </w:t>
      </w:r>
      <w:r w:rsidR="009400AC" w:rsidRPr="00430BF1">
        <w:rPr>
          <w:rFonts w:ascii="Tahoma" w:hAnsi="Tahoma" w:cs="Tahoma"/>
          <w:sz w:val="24"/>
          <w:szCs w:val="24"/>
        </w:rPr>
        <w:t>r</w:t>
      </w:r>
      <w:r w:rsidRPr="00430BF1">
        <w:rPr>
          <w:rFonts w:ascii="Tahoma" w:hAnsi="Tahoma" w:cs="Tahoma"/>
          <w:sz w:val="24"/>
          <w:szCs w:val="24"/>
        </w:rPr>
        <w:t>apports adoptés pour contradiction au Ministre sectoriel concerné (RPROG) qui doit répondre dans le délai d’un mois par mémoire écrit.</w:t>
      </w:r>
    </w:p>
    <w:p w:rsidR="00CD7F17" w:rsidRPr="00430BF1" w:rsidRDefault="00CD7F17" w:rsidP="008A2FE8">
      <w:pPr>
        <w:spacing w:line="360" w:lineRule="auto"/>
        <w:jc w:val="both"/>
        <w:rPr>
          <w:rFonts w:ascii="Tahoma" w:hAnsi="Tahoma" w:cs="Tahoma"/>
          <w:sz w:val="24"/>
          <w:szCs w:val="24"/>
        </w:rPr>
      </w:pPr>
      <w:r w:rsidRPr="00430BF1">
        <w:rPr>
          <w:rFonts w:ascii="Tahoma" w:hAnsi="Tahoma" w:cs="Tahoma"/>
          <w:sz w:val="24"/>
          <w:szCs w:val="24"/>
        </w:rPr>
        <w:t>A la réception des réponses du M/sectoriel (R/PROG) Le Premier Président fait adopter l’avis de la Cour sur les RAP par les chambres réunies, dépose l’avis sur le bureau du Président de l’Assemblée nationale en même temps que le rapport sur l’exécution de la loi de finances et transmet l’avis au MEFP.</w:t>
      </w:r>
    </w:p>
    <w:p w:rsidR="00A7321B" w:rsidRPr="003D2FC6" w:rsidRDefault="00A7321B" w:rsidP="003D2FC6">
      <w:pPr>
        <w:spacing w:line="360" w:lineRule="auto"/>
        <w:rPr>
          <w:rFonts w:ascii="Tahoma" w:hAnsi="Tahoma" w:cs="Tahoma"/>
          <w:sz w:val="24"/>
          <w:szCs w:val="24"/>
        </w:rPr>
      </w:pPr>
      <w:bookmarkStart w:id="0" w:name="_GoBack"/>
      <w:bookmarkEnd w:id="0"/>
    </w:p>
    <w:sectPr w:rsidR="00A7321B" w:rsidRPr="003D2F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5409AD"/>
    <w:multiLevelType w:val="hybridMultilevel"/>
    <w:tmpl w:val="5DD2AD98"/>
    <w:lvl w:ilvl="0" w:tplc="040C000F">
      <w:start w:val="1"/>
      <w:numFmt w:val="decimal"/>
      <w:lvlText w:val="%1."/>
      <w:lvlJc w:val="left"/>
      <w:pPr>
        <w:ind w:left="1428" w:hanging="360"/>
      </w:pPr>
    </w:lvl>
    <w:lvl w:ilvl="1" w:tplc="040C0019">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1" w15:restartNumberingAfterBreak="0">
    <w:nsid w:val="41DB2E8E"/>
    <w:multiLevelType w:val="hybridMultilevel"/>
    <w:tmpl w:val="6B32DDC2"/>
    <w:lvl w:ilvl="0" w:tplc="127A240A">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3BB3D3B"/>
    <w:multiLevelType w:val="hybridMultilevel"/>
    <w:tmpl w:val="D2F8FAC0"/>
    <w:lvl w:ilvl="0" w:tplc="127A240A">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CE30517"/>
    <w:multiLevelType w:val="hybridMultilevel"/>
    <w:tmpl w:val="CDD2AEE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E14"/>
    <w:rsid w:val="00015501"/>
    <w:rsid w:val="00017E27"/>
    <w:rsid w:val="000210EB"/>
    <w:rsid w:val="00027DE8"/>
    <w:rsid w:val="00031A6E"/>
    <w:rsid w:val="00034F22"/>
    <w:rsid w:val="000373AF"/>
    <w:rsid w:val="00050FE3"/>
    <w:rsid w:val="00056285"/>
    <w:rsid w:val="00057472"/>
    <w:rsid w:val="00062F43"/>
    <w:rsid w:val="00071293"/>
    <w:rsid w:val="0007317D"/>
    <w:rsid w:val="00073948"/>
    <w:rsid w:val="000B4088"/>
    <w:rsid w:val="000E1624"/>
    <w:rsid w:val="0012585F"/>
    <w:rsid w:val="001333FC"/>
    <w:rsid w:val="00133766"/>
    <w:rsid w:val="00146BFE"/>
    <w:rsid w:val="0017300B"/>
    <w:rsid w:val="00173FAA"/>
    <w:rsid w:val="00176905"/>
    <w:rsid w:val="0017718A"/>
    <w:rsid w:val="001864AB"/>
    <w:rsid w:val="00192C7F"/>
    <w:rsid w:val="00195829"/>
    <w:rsid w:val="001A1F3A"/>
    <w:rsid w:val="001A4A8A"/>
    <w:rsid w:val="001A6E14"/>
    <w:rsid w:val="001C2FA5"/>
    <w:rsid w:val="001C5378"/>
    <w:rsid w:val="001E031C"/>
    <w:rsid w:val="001E4A5E"/>
    <w:rsid w:val="00251BFA"/>
    <w:rsid w:val="00254ABB"/>
    <w:rsid w:val="00270C97"/>
    <w:rsid w:val="00273AC2"/>
    <w:rsid w:val="00276AC7"/>
    <w:rsid w:val="00277E7F"/>
    <w:rsid w:val="00281B79"/>
    <w:rsid w:val="00293FB1"/>
    <w:rsid w:val="002A7637"/>
    <w:rsid w:val="002B0A3B"/>
    <w:rsid w:val="002C09A5"/>
    <w:rsid w:val="002D5956"/>
    <w:rsid w:val="002F4FD5"/>
    <w:rsid w:val="002F5E86"/>
    <w:rsid w:val="0031427A"/>
    <w:rsid w:val="003661D5"/>
    <w:rsid w:val="00373945"/>
    <w:rsid w:val="00382569"/>
    <w:rsid w:val="00386EA3"/>
    <w:rsid w:val="00397631"/>
    <w:rsid w:val="003A4CE3"/>
    <w:rsid w:val="003B2B0C"/>
    <w:rsid w:val="003D2FC6"/>
    <w:rsid w:val="003D3856"/>
    <w:rsid w:val="003D3F3F"/>
    <w:rsid w:val="00430BF1"/>
    <w:rsid w:val="0043749D"/>
    <w:rsid w:val="00444F7D"/>
    <w:rsid w:val="00452305"/>
    <w:rsid w:val="00491504"/>
    <w:rsid w:val="004954C5"/>
    <w:rsid w:val="00495812"/>
    <w:rsid w:val="00497F1C"/>
    <w:rsid w:val="004A1242"/>
    <w:rsid w:val="004A458C"/>
    <w:rsid w:val="004B0FD5"/>
    <w:rsid w:val="004C615A"/>
    <w:rsid w:val="004D3442"/>
    <w:rsid w:val="004E7A4A"/>
    <w:rsid w:val="004F4421"/>
    <w:rsid w:val="005060C9"/>
    <w:rsid w:val="00520602"/>
    <w:rsid w:val="0052458B"/>
    <w:rsid w:val="00524A93"/>
    <w:rsid w:val="00531326"/>
    <w:rsid w:val="0053264D"/>
    <w:rsid w:val="005358FD"/>
    <w:rsid w:val="005367D3"/>
    <w:rsid w:val="00566436"/>
    <w:rsid w:val="00573CD8"/>
    <w:rsid w:val="005741D8"/>
    <w:rsid w:val="00576BDC"/>
    <w:rsid w:val="00592B69"/>
    <w:rsid w:val="005A0395"/>
    <w:rsid w:val="005B7B1B"/>
    <w:rsid w:val="005C0B4E"/>
    <w:rsid w:val="005C129F"/>
    <w:rsid w:val="005C7816"/>
    <w:rsid w:val="005D54F5"/>
    <w:rsid w:val="005E0AE2"/>
    <w:rsid w:val="005F668D"/>
    <w:rsid w:val="00604DB7"/>
    <w:rsid w:val="00605D5B"/>
    <w:rsid w:val="00606BDE"/>
    <w:rsid w:val="00621223"/>
    <w:rsid w:val="00625D65"/>
    <w:rsid w:val="00641173"/>
    <w:rsid w:val="006462E2"/>
    <w:rsid w:val="00653C1F"/>
    <w:rsid w:val="00662A0C"/>
    <w:rsid w:val="00666ADD"/>
    <w:rsid w:val="006704F4"/>
    <w:rsid w:val="00685ADE"/>
    <w:rsid w:val="006A2CDE"/>
    <w:rsid w:val="006A3811"/>
    <w:rsid w:val="006B6A53"/>
    <w:rsid w:val="006C5C22"/>
    <w:rsid w:val="006C5E51"/>
    <w:rsid w:val="006D0D39"/>
    <w:rsid w:val="006D78DF"/>
    <w:rsid w:val="006D7BA0"/>
    <w:rsid w:val="006E0A24"/>
    <w:rsid w:val="00736500"/>
    <w:rsid w:val="007576C7"/>
    <w:rsid w:val="00762D5F"/>
    <w:rsid w:val="00774355"/>
    <w:rsid w:val="00781B4E"/>
    <w:rsid w:val="007A6B0A"/>
    <w:rsid w:val="007A7DC5"/>
    <w:rsid w:val="007C5CDF"/>
    <w:rsid w:val="007C620D"/>
    <w:rsid w:val="007C74A0"/>
    <w:rsid w:val="007D47F2"/>
    <w:rsid w:val="007D7BF4"/>
    <w:rsid w:val="007E64F7"/>
    <w:rsid w:val="0080421E"/>
    <w:rsid w:val="00813ACD"/>
    <w:rsid w:val="00814BCE"/>
    <w:rsid w:val="00846143"/>
    <w:rsid w:val="00884E9C"/>
    <w:rsid w:val="00886B8F"/>
    <w:rsid w:val="008A2FE8"/>
    <w:rsid w:val="008C1ABC"/>
    <w:rsid w:val="008C36B5"/>
    <w:rsid w:val="008D65FA"/>
    <w:rsid w:val="008E2830"/>
    <w:rsid w:val="008F63C7"/>
    <w:rsid w:val="00900338"/>
    <w:rsid w:val="00901AC4"/>
    <w:rsid w:val="00912CD8"/>
    <w:rsid w:val="009145E6"/>
    <w:rsid w:val="00925A45"/>
    <w:rsid w:val="009400AC"/>
    <w:rsid w:val="00942DB0"/>
    <w:rsid w:val="00943E38"/>
    <w:rsid w:val="00973A30"/>
    <w:rsid w:val="009745DA"/>
    <w:rsid w:val="00983E37"/>
    <w:rsid w:val="009A31C4"/>
    <w:rsid w:val="009B23CF"/>
    <w:rsid w:val="009B619A"/>
    <w:rsid w:val="009F6B5B"/>
    <w:rsid w:val="00A10DFE"/>
    <w:rsid w:val="00A53D6D"/>
    <w:rsid w:val="00A5583D"/>
    <w:rsid w:val="00A613D0"/>
    <w:rsid w:val="00A61611"/>
    <w:rsid w:val="00A7321B"/>
    <w:rsid w:val="00A84B25"/>
    <w:rsid w:val="00AA0CB5"/>
    <w:rsid w:val="00AA51AE"/>
    <w:rsid w:val="00AD7A3A"/>
    <w:rsid w:val="00AF1658"/>
    <w:rsid w:val="00B0543E"/>
    <w:rsid w:val="00B06E57"/>
    <w:rsid w:val="00B11D7E"/>
    <w:rsid w:val="00B13119"/>
    <w:rsid w:val="00B2093B"/>
    <w:rsid w:val="00B222D3"/>
    <w:rsid w:val="00B26552"/>
    <w:rsid w:val="00B271DA"/>
    <w:rsid w:val="00B30E98"/>
    <w:rsid w:val="00B35D07"/>
    <w:rsid w:val="00B407EC"/>
    <w:rsid w:val="00B455A1"/>
    <w:rsid w:val="00B7348C"/>
    <w:rsid w:val="00B83D3E"/>
    <w:rsid w:val="00B843EA"/>
    <w:rsid w:val="00BA3734"/>
    <w:rsid w:val="00BA551B"/>
    <w:rsid w:val="00BB1872"/>
    <w:rsid w:val="00BD44B1"/>
    <w:rsid w:val="00BE7750"/>
    <w:rsid w:val="00BF4697"/>
    <w:rsid w:val="00C00B2B"/>
    <w:rsid w:val="00C07222"/>
    <w:rsid w:val="00C243A2"/>
    <w:rsid w:val="00C35CE3"/>
    <w:rsid w:val="00C478E0"/>
    <w:rsid w:val="00C54816"/>
    <w:rsid w:val="00C641B9"/>
    <w:rsid w:val="00C64E4B"/>
    <w:rsid w:val="00C6548D"/>
    <w:rsid w:val="00C6569E"/>
    <w:rsid w:val="00C73BD5"/>
    <w:rsid w:val="00C82823"/>
    <w:rsid w:val="00C90811"/>
    <w:rsid w:val="00C91622"/>
    <w:rsid w:val="00CB2F55"/>
    <w:rsid w:val="00CC2D19"/>
    <w:rsid w:val="00CC41F1"/>
    <w:rsid w:val="00CD7F17"/>
    <w:rsid w:val="00CE1E3B"/>
    <w:rsid w:val="00CF7988"/>
    <w:rsid w:val="00D013AB"/>
    <w:rsid w:val="00D04B87"/>
    <w:rsid w:val="00D04F42"/>
    <w:rsid w:val="00D06E86"/>
    <w:rsid w:val="00D13C7C"/>
    <w:rsid w:val="00D14B55"/>
    <w:rsid w:val="00D262DF"/>
    <w:rsid w:val="00D33A1F"/>
    <w:rsid w:val="00D553E1"/>
    <w:rsid w:val="00D57C64"/>
    <w:rsid w:val="00D71F0C"/>
    <w:rsid w:val="00D73301"/>
    <w:rsid w:val="00D73CFF"/>
    <w:rsid w:val="00D7415A"/>
    <w:rsid w:val="00D9312F"/>
    <w:rsid w:val="00D970F0"/>
    <w:rsid w:val="00DB453F"/>
    <w:rsid w:val="00DC293F"/>
    <w:rsid w:val="00DC70C4"/>
    <w:rsid w:val="00DE7A27"/>
    <w:rsid w:val="00DF467D"/>
    <w:rsid w:val="00DF5609"/>
    <w:rsid w:val="00E03C26"/>
    <w:rsid w:val="00E13381"/>
    <w:rsid w:val="00E243C5"/>
    <w:rsid w:val="00E424F3"/>
    <w:rsid w:val="00E52602"/>
    <w:rsid w:val="00E75BCD"/>
    <w:rsid w:val="00E76646"/>
    <w:rsid w:val="00EB274A"/>
    <w:rsid w:val="00EB6685"/>
    <w:rsid w:val="00EC014D"/>
    <w:rsid w:val="00EC0B46"/>
    <w:rsid w:val="00EC0CB4"/>
    <w:rsid w:val="00ED188E"/>
    <w:rsid w:val="00EE4C90"/>
    <w:rsid w:val="00EE543C"/>
    <w:rsid w:val="00EF1D2F"/>
    <w:rsid w:val="00EF1F83"/>
    <w:rsid w:val="00F22D97"/>
    <w:rsid w:val="00F5589F"/>
    <w:rsid w:val="00F670D0"/>
    <w:rsid w:val="00F72595"/>
    <w:rsid w:val="00FC24A2"/>
    <w:rsid w:val="00FD6964"/>
    <w:rsid w:val="00FE1B96"/>
    <w:rsid w:val="00FF319F"/>
    <w:rsid w:val="00FF4BC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2078D"/>
  <w15:docId w15:val="{76BC3E5D-DAF1-4DF5-9558-D6DCA8F7F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6E14"/>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A6E14"/>
    <w:pPr>
      <w:ind w:left="720"/>
      <w:contextualSpacing/>
    </w:pPr>
  </w:style>
  <w:style w:type="paragraph" w:styleId="NormalWeb">
    <w:name w:val="Normal (Web)"/>
    <w:basedOn w:val="Normal"/>
    <w:uiPriority w:val="99"/>
    <w:semiHidden/>
    <w:unhideWhenUsed/>
    <w:rsid w:val="00EC014D"/>
    <w:pPr>
      <w:spacing w:before="100" w:beforeAutospacing="1" w:after="100" w:afterAutospacing="1" w:line="240" w:lineRule="auto"/>
    </w:pPr>
    <w:rPr>
      <w:rFonts w:ascii="Times New Roman" w:eastAsia="Times New Roman" w:hAnsi="Times New Roman" w:cs="Times New Roman"/>
      <w:sz w:val="24"/>
      <w:szCs w:val="24"/>
    </w:rPr>
  </w:style>
  <w:style w:type="character" w:styleId="Marquedecommentaire">
    <w:name w:val="annotation reference"/>
    <w:basedOn w:val="Policepardfaut"/>
    <w:uiPriority w:val="99"/>
    <w:semiHidden/>
    <w:unhideWhenUsed/>
    <w:rsid w:val="007576C7"/>
    <w:rPr>
      <w:sz w:val="16"/>
      <w:szCs w:val="16"/>
    </w:rPr>
  </w:style>
  <w:style w:type="paragraph" w:customStyle="1" w:styleId="ADIETche">
    <w:name w:val="ADIE Tâche"/>
    <w:basedOn w:val="Normal"/>
    <w:rsid w:val="00653C1F"/>
    <w:pPr>
      <w:tabs>
        <w:tab w:val="num" w:pos="2124"/>
      </w:tabs>
      <w:spacing w:after="0" w:line="240" w:lineRule="auto"/>
      <w:ind w:left="2124" w:hanging="360"/>
    </w:pPr>
    <w:rPr>
      <w:rFonts w:ascii="Palatino Linotype" w:eastAsia="Times New Roman" w:hAnsi="Palatino Linotype" w:cs="Arial"/>
      <w:iCs/>
      <w:color w:val="000066"/>
      <w:sz w:val="20"/>
      <w:szCs w:val="20"/>
    </w:rPr>
  </w:style>
  <w:style w:type="paragraph" w:styleId="TM5">
    <w:name w:val="toc 5"/>
    <w:basedOn w:val="Normal"/>
    <w:next w:val="Normal"/>
    <w:autoRedefine/>
    <w:uiPriority w:val="39"/>
    <w:rsid w:val="00EE543C"/>
    <w:pPr>
      <w:spacing w:after="0" w:line="240" w:lineRule="auto"/>
      <w:ind w:left="600"/>
    </w:pPr>
    <w:rPr>
      <w:rFonts w:eastAsia="Times New Roman" w:cstheme="minorHAnsi"/>
      <w:sz w:val="20"/>
      <w:szCs w:val="20"/>
    </w:rPr>
  </w:style>
  <w:style w:type="paragraph" w:styleId="Textedebulles">
    <w:name w:val="Balloon Text"/>
    <w:basedOn w:val="Normal"/>
    <w:link w:val="TextedebullesCar"/>
    <w:uiPriority w:val="99"/>
    <w:semiHidden/>
    <w:unhideWhenUsed/>
    <w:rsid w:val="00EE543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E543C"/>
    <w:rPr>
      <w:rFonts w:ascii="Tahoma" w:eastAsiaTheme="minorEastAsia"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4950448">
      <w:bodyDiv w:val="1"/>
      <w:marLeft w:val="0"/>
      <w:marRight w:val="0"/>
      <w:marTop w:val="0"/>
      <w:marBottom w:val="0"/>
      <w:divBdr>
        <w:top w:val="none" w:sz="0" w:space="0" w:color="auto"/>
        <w:left w:val="none" w:sz="0" w:space="0" w:color="auto"/>
        <w:bottom w:val="none" w:sz="0" w:space="0" w:color="auto"/>
        <w:right w:val="none" w:sz="0" w:space="0" w:color="auto"/>
      </w:divBdr>
    </w:div>
    <w:div w:id="2066367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8E77B-1AB1-4EEF-817F-67EC7B08E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490</Words>
  <Characters>2698</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cp:lastPrinted>2018-09-14T16:01:00Z</cp:lastPrinted>
  <dcterms:created xsi:type="dcterms:W3CDTF">2018-09-16T12:41:00Z</dcterms:created>
  <dcterms:modified xsi:type="dcterms:W3CDTF">2018-09-16T12:41:00Z</dcterms:modified>
</cp:coreProperties>
</file>